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8C6" w:rsidRDefault="003818C6" w:rsidP="00DF739D">
      <w:pPr>
        <w:widowControl w:val="0"/>
        <w:ind w:left="0" w:hanging="2"/>
        <w:outlineLvl w:val="9"/>
        <w:rPr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ff0"/>
        <w:tblW w:w="88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5"/>
        <w:gridCol w:w="8625"/>
      </w:tblGrid>
      <w:tr w:rsidR="003818C6">
        <w:trPr>
          <w:trHeight w:val="294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="0" w:hanging="2"/>
              <w:jc w:val="right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8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="4" w:hanging="6"/>
              <w:jc w:val="right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4396</w:t>
            </w:r>
          </w:p>
        </w:tc>
      </w:tr>
    </w:tbl>
    <w:p w:rsidR="003818C6" w:rsidRDefault="00655819" w:rsidP="00DF739D">
      <w:pPr>
        <w:ind w:left="0" w:hanging="2"/>
        <w:jc w:val="center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ВИСНОВОК</w:t>
      </w:r>
    </w:p>
    <w:p w:rsidR="003818C6" w:rsidRDefault="00655819" w:rsidP="00DF739D">
      <w:pPr>
        <w:spacing w:line="240" w:lineRule="auto"/>
        <w:ind w:left="0" w:hanging="2"/>
        <w:jc w:val="center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результатами проведення</w:t>
      </w:r>
    </w:p>
    <w:p w:rsidR="003818C6" w:rsidRDefault="00655819" w:rsidP="00DF739D">
      <w:pPr>
        <w:spacing w:line="240" w:lineRule="auto"/>
        <w:ind w:left="0" w:hanging="2"/>
        <w:jc w:val="center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антикорупційної експертизи законопроєкту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</w:p>
    <w:tbl>
      <w:tblPr>
        <w:tblStyle w:val="aff1"/>
        <w:tblW w:w="957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552"/>
        <w:gridCol w:w="7024"/>
      </w:tblGrid>
      <w:tr w:rsidR="003818C6"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акта</w:t>
            </w:r>
          </w:p>
        </w:tc>
        <w:tc>
          <w:tcPr>
            <w:tcW w:w="7024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Про внесення змін до деяких законодавчих актів України щодо ідентифікації та реєстрації тварин</w:t>
            </w:r>
          </w:p>
        </w:tc>
      </w:tr>
      <w:tr w:rsidR="003818C6"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реєстрації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18.11.2020</w:t>
            </w:r>
          </w:p>
        </w:tc>
      </w:tr>
      <w:tr w:rsidR="003818C6">
        <w:trPr>
          <w:trHeight w:val="761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Суб’єкт права законодавчої ініціативи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Народні депутати України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 Васильович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В'ячеславович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Нікітіна Марина Вікторівна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 Микола Іванович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Чорноморов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Олегович</w:t>
            </w:r>
          </w:p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Чернявський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 Миколайович</w:t>
            </w:r>
          </w:p>
        </w:tc>
      </w:tr>
      <w:tr w:rsidR="003818C6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Головний комітет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Комітет з питань аграрної та земельної політики</w:t>
            </w:r>
          </w:p>
        </w:tc>
      </w:tr>
      <w:tr w:rsidR="003818C6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Висновок та рекомендації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C6" w:rsidRDefault="00655819" w:rsidP="00DF739D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Негативний –  Містить корупціогенні фактори</w:t>
            </w:r>
          </w:p>
        </w:tc>
      </w:tr>
    </w:tbl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законопроєкту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Законопроєкт вносить зміни до закону України “</w:t>
      </w:r>
      <w:hyperlink r:id="rId7">
        <w:r>
          <w:rPr>
            <w:rFonts w:ascii="Times New Roman" w:hAnsi="Times New Roman" w:cs="Times New Roman"/>
            <w:sz w:val="24"/>
            <w:szCs w:val="24"/>
          </w:rPr>
          <w:t>Про ідентифікацію та реєстрацію тварин</w:t>
        </w:r>
      </w:hyperlink>
      <w:r>
        <w:rPr>
          <w:rFonts w:ascii="Times New Roman" w:hAnsi="Times New Roman" w:cs="Times New Roman"/>
          <w:sz w:val="24"/>
          <w:szCs w:val="24"/>
        </w:rPr>
        <w:t>” (далі - Закон), якими пропонується: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оновити визначення термінів;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уточнити права та обов'язки юридичних, фізичних осіб та Адміністратора Єдиного державного реєстру тварин;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визначити повноваження центрального о</w:t>
      </w:r>
      <w:r>
        <w:rPr>
          <w:rFonts w:ascii="Times New Roman" w:hAnsi="Times New Roman" w:cs="Times New Roman"/>
          <w:sz w:val="24"/>
          <w:szCs w:val="24"/>
        </w:rPr>
        <w:t>ргану виконавчої влади, що реалізує державну політику у сфері ідентифікації та реєстрації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доповнити перелік повноважень центрального органу виконавчої влади, що забезпечує формування та реалізує державну аграрну політику у сфері ідентифікації та </w:t>
      </w:r>
      <w:r>
        <w:rPr>
          <w:rFonts w:ascii="Times New Roman" w:hAnsi="Times New Roman" w:cs="Times New Roman"/>
          <w:sz w:val="24"/>
          <w:szCs w:val="24"/>
        </w:rPr>
        <w:t>реєстрації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визначити спосіб та періодичність державного нагляду і контролю за дотриманням законодавства з ідентифікації та реєстрації сільськогосподарських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уточнити заходи державної підтримки у сфері ідентифікації та реєстрації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деталізувати положення, якими встановлюється відповідальність за порушення вимог Закону та законодавства з ідентифікації  та реєстрації 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встановити порядок провадження у справах про порушення законодавства з ідентифікації та реєстрації  тварин.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Змінами до законів України “Про основні засади державного нагляду (контролю) у сфері господарської діяльності” та “Про особливості здійснення державного нагляду (контролю) у сфері господарської діяльності щодо фізичних осіб - підприємців та юридичних осі</w:t>
      </w:r>
      <w:r>
        <w:rPr>
          <w:rFonts w:ascii="Times New Roman" w:hAnsi="Times New Roman" w:cs="Times New Roman"/>
          <w:sz w:val="24"/>
          <w:szCs w:val="24"/>
        </w:rPr>
        <w:t xml:space="preserve">б, які застосовують спрощену систему оподаткування, обліку та звітності” визначається їх дія щодо правовідносин у сфері ідентифікації та реєстрації тварин.   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Резюме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 результаті проведення антикорупційної експертизи законопроєкту Інститут законодавчих і</w:t>
      </w:r>
      <w:r>
        <w:rPr>
          <w:rFonts w:ascii="Times New Roman" w:hAnsi="Times New Roman" w:cs="Times New Roman"/>
          <w:b/>
          <w:i/>
          <w:sz w:val="24"/>
          <w:szCs w:val="24"/>
        </w:rPr>
        <w:t>дей виявив в його положеннях низку корупціогенних факторів, зокрема: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i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 Надмірні дискреційні повноваження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Головний державний ветеринарний інспектор може на власний розсуд обмежити переміщення тварин на невизначений строк.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 Нечітка регламентація відпові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дальності фізичних та юридичних осіб приватного права 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Положення законопроєкту містять ризики свавільного накладення штрафів на операторів ринку.  </w:t>
      </w:r>
    </w:p>
    <w:p w:rsidR="003818C6" w:rsidRDefault="003818C6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 Прогалина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Законопроєктом не визначені випадки обов'язкового попередження про здійснення заходів державного контролю.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Положення проєкту дозволяють довільно визначати періодичність проведення державного контролю.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У проєкті відсутній вичерпний перелік </w:t>
      </w:r>
      <w:r>
        <w:rPr>
          <w:rFonts w:ascii="Times New Roman" w:hAnsi="Times New Roman" w:cs="Times New Roman"/>
          <w:sz w:val="24"/>
          <w:szCs w:val="24"/>
        </w:rPr>
        <w:t>органів здійснення державного нагляду і контролю.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 Юридична колізія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Положення законопроєкту не узгоджуються між собою, що може мати наслідком втручання в діяльність суб'єктів господарювання.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Надмірні дискреційні повноваження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Головний державний ветеринарний інспектор може на власний розсуд обмежити переміщення тварин на невизначений строк.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частини 1 нової статті 11-2 Закону головний державний ветеринарний інспектор </w:t>
      </w:r>
      <w:r>
        <w:rPr>
          <w:rFonts w:ascii="Times New Roman" w:hAnsi="Times New Roman" w:cs="Times New Roman"/>
          <w:b/>
          <w:sz w:val="24"/>
          <w:szCs w:val="24"/>
        </w:rPr>
        <w:t xml:space="preserve">може </w:t>
      </w:r>
      <w:r>
        <w:rPr>
          <w:rFonts w:ascii="Times New Roman" w:hAnsi="Times New Roman" w:cs="Times New Roman"/>
          <w:sz w:val="24"/>
          <w:szCs w:val="24"/>
        </w:rPr>
        <w:t xml:space="preserve">прийняти рішення про тимчасове обмеження на </w:t>
      </w:r>
      <w:r>
        <w:rPr>
          <w:rFonts w:ascii="Times New Roman" w:hAnsi="Times New Roman" w:cs="Times New Roman"/>
          <w:sz w:val="24"/>
          <w:szCs w:val="24"/>
        </w:rPr>
        <w:t>переміщення тварин.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Рішення про тимчасове обмеження на переміщення тварин набирає чинності у день його вручення операторові ринку тварин </w:t>
      </w:r>
      <w:r>
        <w:rPr>
          <w:rFonts w:ascii="Times New Roman" w:hAnsi="Times New Roman" w:cs="Times New Roman"/>
          <w:b/>
          <w:i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 xml:space="preserve"> оприлюднення на офіційному веб-сайті центрального органу виконавчої влади, що реалізує державну політику у сфері іде</w:t>
      </w:r>
      <w:r>
        <w:rPr>
          <w:rFonts w:ascii="Times New Roman" w:hAnsi="Times New Roman" w:cs="Times New Roman"/>
          <w:sz w:val="24"/>
          <w:szCs w:val="24"/>
        </w:rPr>
        <w:t xml:space="preserve">нтифікації та реєстрації тварин, та діє </w:t>
      </w:r>
      <w:r>
        <w:rPr>
          <w:rFonts w:ascii="Times New Roman" w:hAnsi="Times New Roman" w:cs="Times New Roman"/>
          <w:b/>
          <w:sz w:val="24"/>
          <w:szCs w:val="24"/>
        </w:rPr>
        <w:t>протягом визначеного таким рішенням строку</w:t>
      </w:r>
      <w:r>
        <w:rPr>
          <w:rFonts w:ascii="Times New Roman" w:hAnsi="Times New Roman" w:cs="Times New Roman"/>
          <w:sz w:val="24"/>
          <w:szCs w:val="24"/>
        </w:rPr>
        <w:t xml:space="preserve"> або до усунення порушення (частина 2 нової статті 11-2 Закону).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цьому, у законопроєкті чітко не встановлено: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підстави прийняття рішення про тимчасове обмеження на пере</w:t>
      </w:r>
      <w:r>
        <w:rPr>
          <w:rFonts w:ascii="Times New Roman" w:hAnsi="Times New Roman" w:cs="Times New Roman"/>
          <w:sz w:val="24"/>
          <w:szCs w:val="24"/>
        </w:rPr>
        <w:t>міщення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строк дії тимчасового обмеження;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чіткого моменту набрання чинності вищезазначеним рішенням.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Такі положення законопроєкту визначають декілька варіантів реагування на порушення законодавства, без чітких критеріїв вибору одного з них, що д</w:t>
      </w:r>
      <w:r>
        <w:rPr>
          <w:rFonts w:ascii="Times New Roman" w:hAnsi="Times New Roman" w:cs="Times New Roman"/>
          <w:sz w:val="24"/>
          <w:szCs w:val="24"/>
        </w:rPr>
        <w:t>опускає довільний вибір суб’єктом владних повноважень варіанту своєї поведінки, а саме обмежувати переміщення тварин чи ні. Крім цього, проєкт дозволяє суб'єкту владних повноважень на власний розсуд визначити будь-який строк обмеження переміщення тварин. Я</w:t>
      </w:r>
      <w:r>
        <w:rPr>
          <w:rFonts w:ascii="Times New Roman" w:hAnsi="Times New Roman" w:cs="Times New Roman"/>
          <w:sz w:val="24"/>
          <w:szCs w:val="24"/>
        </w:rPr>
        <w:t>к наслідок, прийняття та реалізація законопроєкту може призвести до безпідставного перешкоджання господарській діяльності та створює підстави для корупційних зловживань, пов'язаних із отриманням неправомірної вигоди за неприйняття рішення про обмеження пер</w:t>
      </w:r>
      <w:r>
        <w:rPr>
          <w:rFonts w:ascii="Times New Roman" w:hAnsi="Times New Roman" w:cs="Times New Roman"/>
          <w:sz w:val="24"/>
          <w:szCs w:val="24"/>
        </w:rPr>
        <w:t>еміщення тварин та/або зменшення строку такого обмеження.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 метою усунення корупційних ризиків, в законопроєкті потрібно чітко визначити підстави та строки обмеження переміщення тварин.</w:t>
      </w:r>
    </w:p>
    <w:p w:rsidR="003818C6" w:rsidRDefault="003818C6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Нечітка регламентація відповідальності фізичних та юридичних осіб приватного права 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Положення законопроєкту містять ризики свавільного накладення штрафів на операторів ринку.  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Новою редакцією статті 11 Закону пропонується встановити відповідальність оп</w:t>
      </w:r>
      <w:r>
        <w:rPr>
          <w:rFonts w:ascii="Times New Roman" w:hAnsi="Times New Roman" w:cs="Times New Roman"/>
          <w:sz w:val="24"/>
          <w:szCs w:val="24"/>
        </w:rPr>
        <w:t>ераторів ринку, зокрема, за: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порушення встановлених законодавством вимог до ідентифікації тварин та/або реєстрації тварин;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порушення встановлених законодавством вимог до переміщення тварин.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Зазначені склади правопорушень є нечіткими та неконкретизовани</w:t>
      </w:r>
      <w:r>
        <w:rPr>
          <w:rFonts w:ascii="Times New Roman" w:hAnsi="Times New Roman" w:cs="Times New Roman"/>
          <w:sz w:val="24"/>
          <w:szCs w:val="24"/>
        </w:rPr>
        <w:t>ми, що надає можливість суб'єкту владних повноважень довільно тлумачити правові норми та створює підстави для суб’єктивного та упередженого притягнення операторів ринку до відповідальності. Вказане сприяє виникненню корупційних ризиків та зловживань, напри</w:t>
      </w:r>
      <w:r>
        <w:rPr>
          <w:rFonts w:ascii="Times New Roman" w:hAnsi="Times New Roman" w:cs="Times New Roman"/>
          <w:sz w:val="24"/>
          <w:szCs w:val="24"/>
        </w:rPr>
        <w:t xml:space="preserve">клад, вимаганню неправомірної вигоди як умови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непритягнення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відповідальності шляхом “потрібної” кваліфікації діяння.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усунення корупційних ризиків, в законопроєкті потрібно деталізувати зазначені склади правопорушень. </w:t>
      </w:r>
    </w:p>
    <w:p w:rsidR="003818C6" w:rsidRDefault="003818C6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Прогалина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 Законопроєкт</w:t>
      </w:r>
      <w:r>
        <w:rPr>
          <w:rFonts w:ascii="Times New Roman" w:hAnsi="Times New Roman" w:cs="Times New Roman"/>
          <w:b/>
          <w:sz w:val="24"/>
          <w:szCs w:val="24"/>
        </w:rPr>
        <w:t xml:space="preserve">ом не визначені випадки обов'язкового попередження про здійснення заходів державного контролю.   </w:t>
      </w:r>
    </w:p>
    <w:p w:rsidR="003818C6" w:rsidRDefault="00655819" w:rsidP="00DF7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частини 4 нової статті 9-1 Закону заходи державного контролю здійснюються без попередження оператора ринку тварин, крім випадків, коли таке попередження є необхідною умовою </w:t>
      </w:r>
      <w:r>
        <w:rPr>
          <w:rFonts w:ascii="Times New Roman" w:hAnsi="Times New Roman" w:cs="Times New Roman"/>
          <w:b/>
          <w:sz w:val="24"/>
          <w:szCs w:val="24"/>
        </w:rPr>
        <w:t>забезпечення ефективності</w:t>
      </w:r>
      <w:r>
        <w:rPr>
          <w:rFonts w:ascii="Times New Roman" w:hAnsi="Times New Roman" w:cs="Times New Roman"/>
          <w:sz w:val="24"/>
          <w:szCs w:val="24"/>
        </w:rPr>
        <w:t xml:space="preserve"> державного контролю. Таке попередження нада</w:t>
      </w:r>
      <w:r>
        <w:rPr>
          <w:rFonts w:ascii="Times New Roman" w:hAnsi="Times New Roman" w:cs="Times New Roman"/>
          <w:sz w:val="24"/>
          <w:szCs w:val="24"/>
        </w:rPr>
        <w:t>ється щонайбільше за 48 годин до початку здійснення контролю.</w:t>
      </w:r>
    </w:p>
    <w:p w:rsidR="003818C6" w:rsidRDefault="00655819" w:rsidP="00DF739D">
      <w:pPr>
        <w:tabs>
          <w:tab w:val="left" w:pos="91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 у законопроєкті відсутні критерії </w:t>
      </w:r>
      <w:r>
        <w:rPr>
          <w:rFonts w:ascii="Times New Roman" w:hAnsi="Times New Roman" w:cs="Times New Roman"/>
          <w:b/>
          <w:i/>
          <w:sz w:val="24"/>
          <w:szCs w:val="24"/>
        </w:rPr>
        <w:t>забезпечення ефективності</w:t>
      </w:r>
      <w:r>
        <w:rPr>
          <w:rFonts w:ascii="Times New Roman" w:hAnsi="Times New Roman" w:cs="Times New Roman"/>
          <w:sz w:val="24"/>
          <w:szCs w:val="24"/>
        </w:rPr>
        <w:t xml:space="preserve"> державного контролю, що дозволяє суб'єктам владних повноважень довільно тлумачити правові норми та на власний розсуд визначити н</w:t>
      </w:r>
      <w:r>
        <w:rPr>
          <w:rFonts w:ascii="Times New Roman" w:hAnsi="Times New Roman" w:cs="Times New Roman"/>
          <w:sz w:val="24"/>
          <w:szCs w:val="24"/>
        </w:rPr>
        <w:t xml:space="preserve">еобхідність попередження оператора ринку про заходи державного контролю. Крім цього, у проєкті не визначено форму та спосіб такого попередження. Тому суб'єкт контролю самостійно визначатиме як саме здійснювати відповідне попередження: в електронній формі, </w:t>
      </w:r>
      <w:r>
        <w:rPr>
          <w:rFonts w:ascii="Times New Roman" w:hAnsi="Times New Roman" w:cs="Times New Roman"/>
          <w:sz w:val="24"/>
          <w:szCs w:val="24"/>
        </w:rPr>
        <w:t xml:space="preserve">рекомендованим листом, усно телефоном чи у будь-який інший спосіб за власним бажанням.  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Вказана правова невизначеність створює підстави для корупційних зловживань, пов’язаних із упередженим здійсненням заходів державного контролю та адміністративним тиском на суб'єктів господарювання.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уникнення корупційних ризиків, у законопроєкті потрібн</w:t>
      </w:r>
      <w:r>
        <w:rPr>
          <w:rFonts w:ascii="Times New Roman" w:hAnsi="Times New Roman" w:cs="Times New Roman"/>
          <w:sz w:val="24"/>
          <w:szCs w:val="24"/>
        </w:rPr>
        <w:t>о чітко встановити: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випадки обов'язкового попередження про здійснення заходів державного контролю або критерії для визначення таких випадків;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процедуру попередження про здійснення заходів державного контролю.    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 Положення проєкту дозволяють дові</w:t>
      </w:r>
      <w:r>
        <w:rPr>
          <w:rFonts w:ascii="Times New Roman" w:hAnsi="Times New Roman" w:cs="Times New Roman"/>
          <w:b/>
          <w:sz w:val="24"/>
          <w:szCs w:val="24"/>
        </w:rPr>
        <w:t xml:space="preserve">льно визначати періодичність проведення державного контролю.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Згідно із пунктом “в” частини 6 нової статті 9-1 Закону періодичність проведення державного контролю господарств визначається, зокрема, із врахуванням </w:t>
      </w:r>
      <w:r>
        <w:rPr>
          <w:rFonts w:ascii="Times New Roman" w:hAnsi="Times New Roman" w:cs="Times New Roman"/>
          <w:b/>
          <w:sz w:val="24"/>
          <w:szCs w:val="24"/>
        </w:rPr>
        <w:t>змін у господарстві</w:t>
      </w:r>
      <w:r>
        <w:rPr>
          <w:rFonts w:ascii="Times New Roman" w:hAnsi="Times New Roman" w:cs="Times New Roman"/>
          <w:sz w:val="24"/>
          <w:szCs w:val="24"/>
        </w:rPr>
        <w:t xml:space="preserve"> у порівнянні із поперед</w:t>
      </w:r>
      <w:r>
        <w:rPr>
          <w:rFonts w:ascii="Times New Roman" w:hAnsi="Times New Roman" w:cs="Times New Roman"/>
          <w:sz w:val="24"/>
          <w:szCs w:val="24"/>
        </w:rPr>
        <w:t>німи роками.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Із запропонованої редакції законопроєкту не видається можливим встановити, які саме </w:t>
      </w:r>
      <w:r>
        <w:rPr>
          <w:rFonts w:ascii="Times New Roman" w:hAnsi="Times New Roman" w:cs="Times New Roman"/>
          <w:b/>
          <w:i/>
          <w:sz w:val="24"/>
          <w:szCs w:val="24"/>
        </w:rPr>
        <w:t>зміни у господарстві</w:t>
      </w:r>
      <w:r>
        <w:rPr>
          <w:rFonts w:ascii="Times New Roman" w:hAnsi="Times New Roman" w:cs="Times New Roman"/>
          <w:sz w:val="24"/>
          <w:szCs w:val="24"/>
        </w:rPr>
        <w:t xml:space="preserve"> будуть підставою для визначення періодичності проведення державного контролю. Проєктом також не передбачені критерії, на підставі яких мож</w:t>
      </w:r>
      <w:r>
        <w:rPr>
          <w:rFonts w:ascii="Times New Roman" w:hAnsi="Times New Roman" w:cs="Times New Roman"/>
          <w:sz w:val="24"/>
          <w:szCs w:val="24"/>
        </w:rPr>
        <w:t xml:space="preserve">на було б визначити такі </w:t>
      </w:r>
      <w:r>
        <w:rPr>
          <w:rFonts w:ascii="Times New Roman" w:hAnsi="Times New Roman" w:cs="Times New Roman"/>
          <w:b/>
          <w:i/>
          <w:sz w:val="24"/>
          <w:szCs w:val="24"/>
        </w:rPr>
        <w:t>зміни у господарстві</w:t>
      </w:r>
      <w:r>
        <w:rPr>
          <w:rFonts w:ascii="Times New Roman" w:hAnsi="Times New Roman" w:cs="Times New Roman"/>
          <w:sz w:val="24"/>
          <w:szCs w:val="24"/>
        </w:rPr>
        <w:t>. Отже, законопроєкт дозволяє суб'єкту владних повноважень довільно встановлювати періодичність проведення державного контролю господарств, що може призвести до безпідставного втручання у діяльність суб'єктів го</w:t>
      </w:r>
      <w:r>
        <w:rPr>
          <w:rFonts w:ascii="Times New Roman" w:hAnsi="Times New Roman" w:cs="Times New Roman"/>
          <w:sz w:val="24"/>
          <w:szCs w:val="24"/>
        </w:rPr>
        <w:t>сподарювання та створює підґрунтя для корупційних зловживань.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Усунення корупційних ризиків можливе шляхом виключення пункту “в” із частини 6 нової статті 9-1 Закону.       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 У проєкті відсутній вичерпний перелік органів здійснення державного нагляду і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контролю.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частини 1 нової статті 9-1 Закону державний нагляд і контроль здійснюється центральним органом виконавчої влади, що реалізує державну політику у сфері ідентифікації та реєстрації тварин, </w:t>
      </w:r>
      <w:r>
        <w:rPr>
          <w:rFonts w:ascii="Times New Roman" w:hAnsi="Times New Roman" w:cs="Times New Roman"/>
          <w:b/>
          <w:sz w:val="24"/>
          <w:szCs w:val="24"/>
        </w:rPr>
        <w:t>крім випадків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встановлених цим Законом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оте законопроєктом не визначено: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випадки </w:t>
      </w:r>
      <w:r>
        <w:rPr>
          <w:rFonts w:ascii="Times New Roman" w:hAnsi="Times New Roman" w:cs="Times New Roman"/>
          <w:sz w:val="24"/>
          <w:szCs w:val="24"/>
        </w:rPr>
        <w:t xml:space="preserve">здійснення нагляду і контролю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іншими органами, </w:t>
      </w:r>
      <w:r>
        <w:rPr>
          <w:rFonts w:ascii="Times New Roman" w:hAnsi="Times New Roman" w:cs="Times New Roman"/>
          <w:sz w:val="24"/>
          <w:szCs w:val="24"/>
        </w:rPr>
        <w:t xml:space="preserve">крім вищезазначеного;     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які саме </w:t>
      </w:r>
      <w:r>
        <w:rPr>
          <w:rFonts w:ascii="Times New Roman" w:hAnsi="Times New Roman" w:cs="Times New Roman"/>
          <w:b/>
          <w:i/>
          <w:sz w:val="24"/>
          <w:szCs w:val="24"/>
        </w:rPr>
        <w:t>інші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органи</w:t>
      </w:r>
      <w:r>
        <w:rPr>
          <w:rFonts w:ascii="Times New Roman" w:hAnsi="Times New Roman" w:cs="Times New Roman"/>
          <w:sz w:val="24"/>
          <w:szCs w:val="24"/>
        </w:rPr>
        <w:t xml:space="preserve">, здійснюватимуть державний контроль та нагляд у сфері ідентифікації та реєстрації тварин.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Виявлена прогалина допус</w:t>
      </w:r>
      <w:r>
        <w:rPr>
          <w:rFonts w:ascii="Times New Roman" w:hAnsi="Times New Roman" w:cs="Times New Roman"/>
          <w:sz w:val="24"/>
          <w:szCs w:val="24"/>
        </w:rPr>
        <w:t>кає довільне тлумачення правових норм та здатна призвести до надмірних дискреційних повноважень органів, які самостійно здійснюватимуть державний нагляд і контроль. Положення може стати предметом маніпулювання і прийняття рішення на власний розсуд з питанн</w:t>
      </w:r>
      <w:r>
        <w:rPr>
          <w:rFonts w:ascii="Times New Roman" w:hAnsi="Times New Roman" w:cs="Times New Roman"/>
          <w:sz w:val="24"/>
          <w:szCs w:val="24"/>
        </w:rPr>
        <w:t>я того, який саме орган та в яких випадках повинен здійснювати державний нагляд та контроль. Як наслідок, відсутність належного правового регулювання вказаного питання може сприяти порушенню прав суб’єктів господарювання, створенню штучних перешкод у їх ді</w:t>
      </w:r>
      <w:r>
        <w:rPr>
          <w:rFonts w:ascii="Times New Roman" w:hAnsi="Times New Roman" w:cs="Times New Roman"/>
          <w:sz w:val="24"/>
          <w:szCs w:val="24"/>
        </w:rPr>
        <w:t>яльності та виникненню корупційних ризиків, а також можливим корупційним зловживанням.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усунення корупційних ризиків, із тексту частини 1 нової статті 9-1 Закону потрібно виключити слова “</w:t>
      </w:r>
      <w:r>
        <w:rPr>
          <w:rFonts w:ascii="Times New Roman" w:hAnsi="Times New Roman" w:cs="Times New Roman"/>
          <w:i/>
          <w:sz w:val="24"/>
          <w:szCs w:val="24"/>
        </w:rPr>
        <w:t>крім випадків, встановлених цим Законом</w:t>
      </w:r>
      <w:r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3818C6" w:rsidRDefault="003818C6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Юридична колізія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оложення законопроєкту не узгоджуються між собою, що може мати наслідком втручання в діяльність суб'єктів господарювання.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Згідно з новою редакцією частини 1 статті 5 Закону юридичні та фізичні особи, що провадять діяльність з розведення та утримання тварин</w:t>
      </w:r>
      <w:r>
        <w:rPr>
          <w:rFonts w:ascii="Times New Roman" w:hAnsi="Times New Roman" w:cs="Times New Roman"/>
          <w:sz w:val="24"/>
          <w:szCs w:val="24"/>
        </w:rPr>
        <w:t>, зобов’язані: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“</w:t>
      </w:r>
      <w:r>
        <w:rPr>
          <w:rFonts w:ascii="Times New Roman" w:hAnsi="Times New Roman" w:cs="Times New Roman"/>
          <w:i/>
          <w:sz w:val="24"/>
          <w:szCs w:val="24"/>
        </w:rPr>
        <w:t xml:space="preserve">подавати для реєстрації дані про ідентифікованих тварин, їх породну належність, господарства їх розведення, утримання, дані щодо штучного осіменіння або парування, переміщення сільськогосподарських тварин, їх забою, загибелі, падежу </w:t>
      </w:r>
      <w:r>
        <w:rPr>
          <w:rFonts w:ascii="Times New Roman" w:hAnsi="Times New Roman" w:cs="Times New Roman"/>
          <w:b/>
          <w:i/>
          <w:sz w:val="24"/>
          <w:szCs w:val="24"/>
        </w:rPr>
        <w:t>шляхом внесення до Єдиного державного реєстру тварин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“</w:t>
      </w:r>
      <w:r>
        <w:rPr>
          <w:rFonts w:ascii="Times New Roman" w:hAnsi="Times New Roman" w:cs="Times New Roman"/>
          <w:b/>
          <w:i/>
          <w:sz w:val="24"/>
          <w:szCs w:val="24"/>
        </w:rPr>
        <w:t>вести облік тварин у господарстві в Єдиному державному реєстрі тварин</w:t>
      </w:r>
      <w:r>
        <w:rPr>
          <w:rFonts w:ascii="Times New Roman" w:hAnsi="Times New Roman" w:cs="Times New Roman"/>
          <w:i/>
          <w:sz w:val="24"/>
          <w:szCs w:val="24"/>
        </w:rPr>
        <w:t xml:space="preserve"> щодо їх народження, ідентифікаційних номерів, породної належності, усіх переміщень тварин між господарствами, а також про забій </w:t>
      </w:r>
      <w:r>
        <w:rPr>
          <w:rFonts w:ascii="Times New Roman" w:hAnsi="Times New Roman" w:cs="Times New Roman"/>
          <w:i/>
          <w:sz w:val="24"/>
          <w:szCs w:val="24"/>
        </w:rPr>
        <w:t>та падіж тварин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Однак, з положень проєкту неможливо чітко визначити, як саме юридичні та фізичні особи вноситимуть дані та вестимуть облік </w:t>
      </w:r>
      <w:r>
        <w:rPr>
          <w:rFonts w:ascii="Times New Roman" w:hAnsi="Times New Roman" w:cs="Times New Roman"/>
          <w:b/>
          <w:sz w:val="24"/>
          <w:szCs w:val="24"/>
        </w:rPr>
        <w:t>в Єдиному державному реєстрі тварин</w:t>
      </w:r>
      <w:r>
        <w:rPr>
          <w:rFonts w:ascii="Times New Roman" w:hAnsi="Times New Roman" w:cs="Times New Roman"/>
          <w:sz w:val="24"/>
          <w:szCs w:val="24"/>
        </w:rPr>
        <w:t xml:space="preserve">, адже статтями 1 та 5 Закону в редакції законопроєкту встановлено наступне: 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формування та ведення Єдиного державного реєстру тварин здійснює </w:t>
      </w:r>
      <w:r>
        <w:rPr>
          <w:rFonts w:ascii="Times New Roman" w:hAnsi="Times New Roman" w:cs="Times New Roman"/>
          <w:b/>
          <w:sz w:val="24"/>
          <w:szCs w:val="24"/>
        </w:rPr>
        <w:t>Адміністратор Єдиного державного реєстру тварин</w:t>
      </w:r>
      <w:r>
        <w:rPr>
          <w:rFonts w:ascii="Times New Roman" w:hAnsi="Times New Roman" w:cs="Times New Roman"/>
          <w:sz w:val="24"/>
          <w:szCs w:val="24"/>
        </w:rPr>
        <w:t xml:space="preserve"> (центральний орган виконавчої влади, що реалізує державну політику у сфері ідентифікації та реєстрації тварин);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юридичні та фізичні особи, що</w:t>
      </w:r>
      <w:r>
        <w:rPr>
          <w:rFonts w:ascii="Times New Roman" w:hAnsi="Times New Roman" w:cs="Times New Roman"/>
          <w:sz w:val="24"/>
          <w:szCs w:val="24"/>
        </w:rPr>
        <w:t xml:space="preserve"> провадять діяльність з розведення та утримання тварин, зобов’язані подавати дані до </w:t>
      </w:r>
      <w:r>
        <w:rPr>
          <w:rFonts w:ascii="Times New Roman" w:hAnsi="Times New Roman" w:cs="Times New Roman"/>
          <w:b/>
          <w:sz w:val="24"/>
          <w:szCs w:val="24"/>
        </w:rPr>
        <w:t>Адміністратора Єдиного державного реєстру тварин;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Адміністратор Єдиного державного реєстру тварин</w:t>
      </w:r>
      <w:r>
        <w:rPr>
          <w:rFonts w:ascii="Times New Roman" w:hAnsi="Times New Roman" w:cs="Times New Roman"/>
          <w:sz w:val="24"/>
          <w:szCs w:val="24"/>
        </w:rPr>
        <w:t xml:space="preserve"> зобов’язаний </w:t>
      </w:r>
      <w:r>
        <w:rPr>
          <w:rFonts w:ascii="Times New Roman" w:hAnsi="Times New Roman" w:cs="Times New Roman"/>
          <w:b/>
          <w:sz w:val="24"/>
          <w:szCs w:val="24"/>
        </w:rPr>
        <w:t>вносити</w:t>
      </w:r>
      <w:r>
        <w:rPr>
          <w:rFonts w:ascii="Times New Roman" w:hAnsi="Times New Roman" w:cs="Times New Roman"/>
          <w:sz w:val="24"/>
          <w:szCs w:val="24"/>
        </w:rPr>
        <w:t xml:space="preserve"> до Єдиного державного реєстру тварин </w:t>
      </w:r>
      <w:r>
        <w:rPr>
          <w:rFonts w:ascii="Times New Roman" w:hAnsi="Times New Roman" w:cs="Times New Roman"/>
          <w:b/>
          <w:sz w:val="24"/>
          <w:szCs w:val="24"/>
        </w:rPr>
        <w:t>дані</w:t>
      </w:r>
      <w:r>
        <w:rPr>
          <w:rFonts w:ascii="Times New Roman" w:hAnsi="Times New Roman" w:cs="Times New Roman"/>
          <w:sz w:val="24"/>
          <w:szCs w:val="24"/>
        </w:rPr>
        <w:t>, встановлені Законом.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Виявлена колізія надає суб'єкту владних повноважень підстави для встановлення неправомірних вимог до суб'єктів господарювання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необгрунтованого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втручання в їх діяльність, що створює підґрунтя для корупційних ризиків та зловживань.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Усунення колізії можливе шляхом узгодження змін до статей 1 та 5 Закону між собою.</w:t>
      </w:r>
    </w:p>
    <w:p w:rsidR="00DF739D" w:rsidRPr="00DF739D" w:rsidRDefault="00DF739D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Позиції державних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стейкхолдерів</w:t>
      </w:r>
      <w:proofErr w:type="spellEnd"/>
      <w:r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2"/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Міністерство розвитку економіки, торгівлі та сільського господарства України та Міністерство аграрної політики та продовольства України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підтримують </w:t>
      </w:r>
      <w:r>
        <w:rPr>
          <w:rFonts w:ascii="Times New Roman" w:hAnsi="Times New Roman" w:cs="Times New Roman"/>
          <w:sz w:val="24"/>
          <w:szCs w:val="24"/>
          <w:highlight w:val="white"/>
        </w:rPr>
        <w:t>законопроєкт.</w:t>
      </w:r>
    </w:p>
    <w:p w:rsidR="003818C6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 Міністерство юстиції України вважає, що законопроєкт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потребує доопрацювання</w:t>
      </w: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3818C6" w:rsidRPr="00DF739D" w:rsidRDefault="00655819" w:rsidP="00DF739D">
      <w:pPr>
        <w:spacing w:line="240" w:lineRule="auto"/>
        <w:ind w:leftChars="0" w:left="0" w:firstLineChars="0" w:firstLine="720"/>
        <w:jc w:val="both"/>
        <w:outlineLvl w:val="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 У Міністерства фінансів України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зауважень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до проєкту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не має</w:t>
      </w: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sectPr w:rsidR="003818C6" w:rsidRPr="00DF739D">
      <w:headerReference w:type="first" r:id="rId8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819" w:rsidRDefault="00655819">
      <w:pPr>
        <w:spacing w:line="240" w:lineRule="auto"/>
        <w:ind w:left="0" w:hanging="2"/>
      </w:pPr>
      <w:r>
        <w:separator/>
      </w:r>
    </w:p>
  </w:endnote>
  <w:endnote w:type="continuationSeparator" w:id="0">
    <w:p w:rsidR="00655819" w:rsidRDefault="0065581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tiqu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819" w:rsidRDefault="00655819">
      <w:pPr>
        <w:spacing w:line="240" w:lineRule="auto"/>
        <w:ind w:left="0" w:hanging="2"/>
      </w:pPr>
      <w:r>
        <w:separator/>
      </w:r>
    </w:p>
  </w:footnote>
  <w:footnote w:type="continuationSeparator" w:id="0">
    <w:p w:rsidR="00655819" w:rsidRDefault="00655819">
      <w:pPr>
        <w:spacing w:line="240" w:lineRule="auto"/>
        <w:ind w:left="0" w:hanging="2"/>
      </w:pPr>
      <w:r>
        <w:continuationSeparator/>
      </w:r>
    </w:p>
  </w:footnote>
  <w:footnote w:id="1">
    <w:p w:rsidR="003818C6" w:rsidRDefault="00655819">
      <w:pPr>
        <w:spacing w:line="240" w:lineRule="auto"/>
        <w:ind w:left="0" w:hanging="2"/>
        <w:jc w:val="both"/>
      </w:pPr>
      <w:r>
        <w:rPr>
          <w:vertAlign w:val="superscript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Цей висновок підготовлений відповідно до Методології проведення антикорупційної експертизи законопроєктів аналітичним центром “Інститут законодавчих ідей”</w:t>
      </w:r>
    </w:p>
  </w:footnote>
  <w:footnote w:id="2">
    <w:p w:rsidR="003818C6" w:rsidRDefault="00655819">
      <w:pPr>
        <w:spacing w:line="240" w:lineRule="auto"/>
        <w:ind w:left="0" w:hanging="2"/>
      </w:pPr>
      <w:r>
        <w:rPr>
          <w:vertAlign w:val="superscript"/>
        </w:rPr>
        <w:footnoteRef/>
      </w:r>
      <w:r>
        <w:rPr>
          <w:sz w:val="20"/>
        </w:rPr>
        <w:t xml:space="preserve"> </w:t>
      </w:r>
      <w:hyperlink r:id="rId1">
        <w:r>
          <w:rPr>
            <w:color w:val="1155CC"/>
            <w:sz w:val="20"/>
            <w:u w:val="single"/>
          </w:rPr>
          <w:t>https://www.kmu.gov.ua/bills/proekt-zakonu-pro-vnesennya-zmin-do-deyakikh-zakonodavchikh-aktiv-ukraini-shchodo-identifikatsii-ta-reestratsii-tvarin</w:t>
        </w:r>
      </w:hyperlink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8C6" w:rsidRDefault="003818C6">
    <w:pPr>
      <w:widowControl w:val="0"/>
      <w:ind w:left="0" w:hanging="2"/>
      <w:rPr>
        <w:sz w:val="20"/>
      </w:rPr>
    </w:pPr>
  </w:p>
  <w:tbl>
    <w:tblPr>
      <w:tblStyle w:val="aff2"/>
      <w:tblW w:w="9719" w:type="dxa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000" w:firstRow="0" w:lastRow="0" w:firstColumn="0" w:lastColumn="0" w:noHBand="0" w:noVBand="0"/>
    </w:tblPr>
    <w:tblGrid>
      <w:gridCol w:w="2977"/>
      <w:gridCol w:w="3623"/>
      <w:gridCol w:w="3119"/>
    </w:tblGrid>
    <w:tr w:rsidR="003818C6">
      <w:trPr>
        <w:trHeight w:val="2196"/>
        <w:jc w:val="center"/>
      </w:trPr>
      <w:tc>
        <w:tcPr>
          <w:tcW w:w="2977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3818C6" w:rsidRDefault="00655819">
          <w:pPr>
            <w:spacing w:before="120"/>
            <w:ind w:left="0" w:hanging="2"/>
            <w:rPr>
              <w:rFonts w:ascii="Cambria" w:eastAsia="Cambria" w:hAnsi="Cambria" w:cs="Cambria"/>
              <w:color w:val="333399"/>
            </w:rPr>
          </w:pPr>
          <w:r>
            <w:rPr>
              <w:rFonts w:ascii="Cambria" w:eastAsia="Cambria" w:hAnsi="Cambria" w:cs="Cambria"/>
              <w:b/>
              <w:color w:val="333399"/>
            </w:rPr>
            <w:t xml:space="preserve">               </w:t>
          </w:r>
        </w:p>
        <w:p w:rsidR="003818C6" w:rsidRDefault="00655819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2000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020000"/>
              <w:sz w:val="24"/>
              <w:szCs w:val="24"/>
            </w:rPr>
            <w:t>Аналітичний центр «Інститут законодавчих ідей»</w:t>
          </w:r>
        </w:p>
        <w:p w:rsidR="003818C6" w:rsidRDefault="00655819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office@izi.institute</w:t>
          </w:r>
          <w:proofErr w:type="spellEnd"/>
        </w:p>
        <w:p w:rsidR="003818C6" w:rsidRDefault="00655819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3818C6" w:rsidRDefault="00655819">
          <w:pPr>
            <w:ind w:left="0" w:hanging="2"/>
            <w:jc w:val="center"/>
          </w:pPr>
          <w:r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  <w:tc>
        <w:tcPr>
          <w:tcW w:w="3623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3818C6" w:rsidRDefault="00655819">
          <w:pPr>
            <w:ind w:left="0" w:hanging="2"/>
            <w:jc w:val="center"/>
          </w:pPr>
          <w:r>
            <w:rPr>
              <w:noProof/>
              <w:lang w:val="ru-RU"/>
            </w:rPr>
            <w:drawing>
              <wp:inline distT="0" distB="0" distL="0" distR="0">
                <wp:extent cx="2667000" cy="1685925"/>
                <wp:effectExtent l="0" t="0" r="0" b="0"/>
                <wp:docPr id="2" name="image1.png" descr="https://lh4.googleusercontent.com/nHCGlOQUBpGGAuU0DR6FkV93l3lZype4aJ8lutZUfixscQK4kpgo4sjsfJRnGCSz74YN14VuwED1DKM8J0kbj2PmK6rQbU-_ofQlJRM08iQMINiHIN7W2RI3pZhzQeR8irWCLJ-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https://lh4.googleusercontent.com/nHCGlOQUBpGGAuU0DR6FkV93l3lZype4aJ8lutZUfixscQK4kpgo4sjsfJRnGCSz74YN14VuwED1DKM8J0kbj2PmK6rQbU-_ofQlJRM08iQMINiHIN7W2RI3pZhzQeR8irWCLJ-t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0" cy="16859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3818C6" w:rsidRDefault="003818C6">
          <w:pPr>
            <w:spacing w:before="120"/>
            <w:ind w:left="0" w:hanging="2"/>
            <w:rPr>
              <w:rFonts w:ascii="Cambria" w:eastAsia="Cambria" w:hAnsi="Cambria" w:cs="Cambria"/>
              <w:color w:val="FF0000"/>
            </w:rPr>
          </w:pPr>
        </w:p>
        <w:p w:rsidR="003818C6" w:rsidRDefault="00655819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Think</w:t>
          </w:r>
          <w:proofErr w:type="spellEnd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tank</w:t>
          </w:r>
          <w:proofErr w:type="spellEnd"/>
        </w:p>
        <w:p w:rsidR="003818C6" w:rsidRDefault="00655819">
          <w:pPr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«</w:t>
          </w: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Institute</w:t>
          </w:r>
          <w:proofErr w:type="spellEnd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of</w:t>
          </w:r>
          <w:proofErr w:type="spellEnd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legislative</w:t>
          </w:r>
          <w:proofErr w:type="spellEnd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ideas</w:t>
          </w:r>
          <w:proofErr w:type="spellEnd"/>
          <w:r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»</w:t>
          </w:r>
        </w:p>
        <w:p w:rsidR="003818C6" w:rsidRDefault="00655819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office@izi.institute</w:t>
          </w:r>
          <w:proofErr w:type="spellEnd"/>
        </w:p>
        <w:p w:rsidR="003818C6" w:rsidRDefault="00655819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3818C6" w:rsidRDefault="00655819">
          <w:pPr>
            <w:ind w:left="0" w:hanging="2"/>
            <w:jc w:val="center"/>
          </w:pPr>
          <w:r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</w:tr>
  </w:tbl>
  <w:p w:rsidR="003818C6" w:rsidRDefault="003818C6">
    <w:pPr>
      <w:tabs>
        <w:tab w:val="center" w:pos="4677"/>
        <w:tab w:val="right" w:pos="9355"/>
      </w:tabs>
      <w:spacing w:line="240" w:lineRule="aut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C6"/>
    <w:rsid w:val="003818C6"/>
    <w:rsid w:val="00655819"/>
    <w:rsid w:val="00D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D777C-26A7-4970-AEFA-A135A54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ru-RU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89D"/>
    <w:pPr>
      <w:suppressAutoHyphens/>
      <w:ind w:leftChars="-1" w:left="-1" w:hangingChars="1"/>
      <w:textDirection w:val="btLr"/>
      <w:textAlignment w:val="top"/>
      <w:outlineLvl w:val="0"/>
    </w:pPr>
    <w:rPr>
      <w:rFonts w:eastAsia="Times New Roman"/>
      <w:color w:val="000000"/>
      <w:position w:val="-1"/>
      <w:szCs w:val="20"/>
    </w:rPr>
  </w:style>
  <w:style w:type="paragraph" w:styleId="1">
    <w:name w:val="heading 1"/>
    <w:basedOn w:val="12"/>
    <w:next w:val="12"/>
    <w:link w:val="10"/>
    <w:uiPriority w:val="99"/>
    <w:qFormat/>
    <w:rsid w:val="00B3189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2"/>
    <w:next w:val="12"/>
    <w:link w:val="20"/>
    <w:uiPriority w:val="99"/>
    <w:qFormat/>
    <w:rsid w:val="00B3189D"/>
    <w:pPr>
      <w:keepNext/>
      <w:suppressAutoHyphens/>
      <w:spacing w:before="240" w:after="60"/>
      <w:ind w:leftChars="-1" w:left="-1" w:hangingChars="1"/>
      <w:textDirection w:val="btLr"/>
      <w:textAlignment w:val="top"/>
      <w:outlineLvl w:val="1"/>
    </w:pPr>
    <w:rPr>
      <w:rFonts w:ascii="Cambria" w:hAnsi="Cambria" w:cs="Times New Roman"/>
      <w:b/>
      <w:bCs/>
      <w:i/>
      <w:iCs/>
      <w:color w:val="000000"/>
      <w:position w:val="-1"/>
      <w:sz w:val="28"/>
      <w:szCs w:val="28"/>
    </w:rPr>
  </w:style>
  <w:style w:type="paragraph" w:styleId="3">
    <w:name w:val="heading 3"/>
    <w:basedOn w:val="12"/>
    <w:next w:val="12"/>
    <w:link w:val="30"/>
    <w:uiPriority w:val="99"/>
    <w:qFormat/>
    <w:rsid w:val="00B3189D"/>
    <w:pPr>
      <w:suppressAutoHyphens/>
      <w:spacing w:before="100" w:beforeAutospacing="1" w:after="100" w:afterAutospacing="1"/>
      <w:ind w:leftChars="-1" w:left="-1" w:hangingChars="1"/>
      <w:textDirection w:val="btLr"/>
      <w:textAlignment w:val="top"/>
      <w:outlineLvl w:val="2"/>
    </w:pPr>
    <w:rPr>
      <w:rFonts w:ascii="Times New Roman" w:hAnsi="Times New Roman" w:cs="Times New Roman"/>
      <w:b/>
      <w:bCs/>
      <w:position w:val="-1"/>
      <w:sz w:val="27"/>
      <w:szCs w:val="27"/>
    </w:rPr>
  </w:style>
  <w:style w:type="paragraph" w:styleId="4">
    <w:name w:val="heading 4"/>
    <w:basedOn w:val="12"/>
    <w:next w:val="12"/>
    <w:link w:val="40"/>
    <w:uiPriority w:val="99"/>
    <w:qFormat/>
    <w:rsid w:val="00B318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2"/>
    <w:next w:val="12"/>
    <w:link w:val="50"/>
    <w:uiPriority w:val="99"/>
    <w:qFormat/>
    <w:rsid w:val="00B3189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2"/>
    <w:next w:val="12"/>
    <w:link w:val="60"/>
    <w:uiPriority w:val="99"/>
    <w:qFormat/>
    <w:rsid w:val="00B3189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2"/>
    <w:next w:val="12"/>
    <w:link w:val="a4"/>
    <w:uiPriority w:val="99"/>
    <w:qFormat/>
    <w:rsid w:val="00B3189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locked/>
    <w:rsid w:val="00B3189D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B3189D"/>
    <w:rPr>
      <w:rFonts w:ascii="Cambria" w:hAnsi="Cambria" w:cs="Times New Roman"/>
      <w:b/>
      <w:i/>
      <w:color w:val="000000"/>
      <w:w w:val="100"/>
      <w:sz w:val="28"/>
      <w:effect w:val="none"/>
      <w:vertAlign w:val="baseline"/>
      <w:em w:val="none"/>
    </w:rPr>
  </w:style>
  <w:style w:type="character" w:customStyle="1" w:styleId="30">
    <w:name w:val="Заголовок 3 Знак"/>
    <w:basedOn w:val="a0"/>
    <w:link w:val="3"/>
    <w:uiPriority w:val="99"/>
    <w:locked/>
    <w:rsid w:val="00B3189D"/>
    <w:rPr>
      <w:rFonts w:ascii="Times New Roman" w:hAnsi="Times New Roman" w:cs="Times New Roman"/>
      <w:b/>
      <w:w w:val="100"/>
      <w:sz w:val="27"/>
      <w:effect w:val="none"/>
      <w:vertAlign w:val="baseline"/>
      <w:em w:val="none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3189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3189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B3189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B3189D"/>
  </w:style>
  <w:style w:type="character" w:customStyle="1" w:styleId="a4">
    <w:name w:val="Название Знак"/>
    <w:basedOn w:val="a0"/>
    <w:link w:val="a3"/>
    <w:uiPriority w:val="99"/>
    <w:locked/>
    <w:rsid w:val="00B3189D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customStyle="1" w:styleId="normal18">
    <w:name w:val="normal18"/>
    <w:uiPriority w:val="99"/>
    <w:rsid w:val="00B3189D"/>
  </w:style>
  <w:style w:type="paragraph" w:customStyle="1" w:styleId="normal17">
    <w:name w:val="normal17"/>
    <w:uiPriority w:val="99"/>
    <w:rsid w:val="00B3189D"/>
  </w:style>
  <w:style w:type="paragraph" w:customStyle="1" w:styleId="normal16">
    <w:name w:val="normal16"/>
    <w:uiPriority w:val="99"/>
    <w:rsid w:val="00B3189D"/>
  </w:style>
  <w:style w:type="paragraph" w:customStyle="1" w:styleId="normal15">
    <w:name w:val="normal15"/>
    <w:uiPriority w:val="99"/>
    <w:rsid w:val="00B3189D"/>
  </w:style>
  <w:style w:type="paragraph" w:customStyle="1" w:styleId="normal14">
    <w:name w:val="normal14"/>
    <w:uiPriority w:val="99"/>
    <w:rsid w:val="00B3189D"/>
  </w:style>
  <w:style w:type="paragraph" w:customStyle="1" w:styleId="normal13">
    <w:name w:val="normal13"/>
    <w:uiPriority w:val="99"/>
    <w:rsid w:val="00B3189D"/>
  </w:style>
  <w:style w:type="paragraph" w:customStyle="1" w:styleId="normal12">
    <w:name w:val="normal12"/>
    <w:uiPriority w:val="99"/>
    <w:rsid w:val="00B3189D"/>
  </w:style>
  <w:style w:type="paragraph" w:customStyle="1" w:styleId="normal11">
    <w:name w:val="normal11"/>
    <w:uiPriority w:val="99"/>
    <w:rsid w:val="00B3189D"/>
  </w:style>
  <w:style w:type="paragraph" w:customStyle="1" w:styleId="normal10">
    <w:name w:val="normal10"/>
    <w:uiPriority w:val="99"/>
    <w:rsid w:val="00B3189D"/>
  </w:style>
  <w:style w:type="paragraph" w:customStyle="1" w:styleId="normal9">
    <w:name w:val="normal9"/>
    <w:uiPriority w:val="99"/>
    <w:rsid w:val="00B3189D"/>
  </w:style>
  <w:style w:type="paragraph" w:customStyle="1" w:styleId="normal8">
    <w:name w:val="normal8"/>
    <w:uiPriority w:val="99"/>
    <w:rsid w:val="00B3189D"/>
  </w:style>
  <w:style w:type="paragraph" w:customStyle="1" w:styleId="normal7">
    <w:name w:val="normal7"/>
    <w:uiPriority w:val="99"/>
    <w:rsid w:val="00B3189D"/>
  </w:style>
  <w:style w:type="paragraph" w:customStyle="1" w:styleId="normal6">
    <w:name w:val="normal6"/>
    <w:uiPriority w:val="99"/>
    <w:rsid w:val="00B3189D"/>
  </w:style>
  <w:style w:type="paragraph" w:customStyle="1" w:styleId="normal5">
    <w:name w:val="normal5"/>
    <w:uiPriority w:val="99"/>
    <w:rsid w:val="00B3189D"/>
  </w:style>
  <w:style w:type="paragraph" w:customStyle="1" w:styleId="normal4">
    <w:name w:val="normal4"/>
    <w:uiPriority w:val="99"/>
    <w:rsid w:val="00B3189D"/>
  </w:style>
  <w:style w:type="paragraph" w:customStyle="1" w:styleId="13">
    <w:name w:val="Обычный1"/>
    <w:uiPriority w:val="99"/>
  </w:style>
  <w:style w:type="paragraph" w:customStyle="1" w:styleId="normal3">
    <w:name w:val="normal3"/>
    <w:uiPriority w:val="99"/>
  </w:style>
  <w:style w:type="paragraph" w:customStyle="1" w:styleId="normal2">
    <w:name w:val="normal2"/>
    <w:uiPriority w:val="99"/>
  </w:style>
  <w:style w:type="paragraph" w:customStyle="1" w:styleId="normal1">
    <w:name w:val="normal1"/>
    <w:uiPriority w:val="99"/>
  </w:style>
  <w:style w:type="paragraph" w:customStyle="1" w:styleId="12">
    <w:name w:val="Обычный12"/>
    <w:uiPriority w:val="99"/>
    <w:rsid w:val="00B3189D"/>
    <w:rPr>
      <w:sz w:val="20"/>
      <w:szCs w:val="20"/>
    </w:rPr>
  </w:style>
  <w:style w:type="paragraph" w:customStyle="1" w:styleId="StyleProp">
    <w:name w:val="StyleProp"/>
    <w:basedOn w:val="a"/>
    <w:uiPriority w:val="99"/>
    <w:rsid w:val="00B3189D"/>
    <w:pPr>
      <w:spacing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</w:rPr>
  </w:style>
  <w:style w:type="table" w:styleId="a5">
    <w:name w:val="Table Grid"/>
    <w:basedOn w:val="a1"/>
    <w:uiPriority w:val="99"/>
    <w:rsid w:val="00B3189D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uiPriority w:val="99"/>
    <w:rsid w:val="00B3189D"/>
    <w:rPr>
      <w:w w:val="100"/>
      <w:effect w:val="none"/>
      <w:vertAlign w:val="baseline"/>
      <w:em w:val="none"/>
    </w:rPr>
  </w:style>
  <w:style w:type="character" w:customStyle="1" w:styleId="apple-converted-space">
    <w:name w:val="apple-converted-space"/>
    <w:basedOn w:val="a0"/>
    <w:uiPriority w:val="99"/>
    <w:rsid w:val="00B3189D"/>
    <w:rPr>
      <w:rFonts w:cs="Times New Roman"/>
      <w:w w:val="100"/>
      <w:effect w:val="none"/>
      <w:vertAlign w:val="baseline"/>
      <w:em w:val="none"/>
    </w:rPr>
  </w:style>
  <w:style w:type="paragraph" w:customStyle="1" w:styleId="StyleZakonu">
    <w:name w:val="StyleZakonu"/>
    <w:basedOn w:val="a"/>
    <w:uiPriority w:val="99"/>
    <w:rsid w:val="00B3189D"/>
    <w:pPr>
      <w:spacing w:after="60" w:line="220" w:lineRule="atLeast"/>
      <w:ind w:firstLine="284"/>
      <w:jc w:val="both"/>
    </w:pPr>
    <w:rPr>
      <w:rFonts w:ascii="Times New Roman" w:eastAsia="Arial" w:hAnsi="Times New Roman" w:cs="Times New Roman"/>
      <w:color w:val="auto"/>
      <w:sz w:val="20"/>
    </w:rPr>
  </w:style>
  <w:style w:type="character" w:customStyle="1" w:styleId="StyleZakonu0">
    <w:name w:val="StyleZakonu Знак"/>
    <w:uiPriority w:val="99"/>
    <w:rsid w:val="00B3189D"/>
    <w:rPr>
      <w:rFonts w:ascii="Times New Roman" w:hAnsi="Times New Roman"/>
      <w:w w:val="100"/>
      <w:effect w:val="none"/>
      <w:vertAlign w:val="baseline"/>
      <w:em w:val="none"/>
      <w:lang w:eastAsia="ru-RU"/>
    </w:rPr>
  </w:style>
  <w:style w:type="character" w:styleId="a6">
    <w:name w:val="Hyperlink"/>
    <w:basedOn w:val="a0"/>
    <w:uiPriority w:val="99"/>
    <w:rsid w:val="00B3189D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paragraph" w:customStyle="1" w:styleId="rvps2">
    <w:name w:val="rvps2"/>
    <w:basedOn w:val="a"/>
    <w:uiPriority w:val="99"/>
    <w:rsid w:val="00B3189D"/>
    <w:pPr>
      <w:spacing w:before="100" w:after="100" w:line="240" w:lineRule="auto"/>
    </w:pPr>
    <w:rPr>
      <w:rFonts w:ascii="Times New Roman" w:eastAsia="Arial" w:hAnsi="Times New Roman" w:cs="Times New Roman"/>
      <w:color w:val="auto"/>
      <w:kern w:val="1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rsid w:val="00B3189D"/>
    <w:pPr>
      <w:widowControl w:val="0"/>
      <w:suppressAutoHyphens w:val="0"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uiPriority w:val="99"/>
    <w:locked/>
    <w:rsid w:val="00B3189D"/>
    <w:rPr>
      <w:rFonts w:ascii="Times New Roman" w:eastAsia="SimSun" w:hAnsi="Times New Roman" w:cs="Times New Roman"/>
      <w:w w:val="100"/>
      <w:kern w:val="1"/>
      <w:sz w:val="24"/>
      <w:effect w:val="none"/>
      <w:vertAlign w:val="baseline"/>
      <w:em w:val="none"/>
      <w:lang w:eastAsia="hi-IN" w:bidi="hi-IN"/>
    </w:rPr>
  </w:style>
  <w:style w:type="paragraph" w:styleId="a9">
    <w:name w:val="Normal (Web)"/>
    <w:basedOn w:val="a"/>
    <w:uiPriority w:val="99"/>
    <w:rsid w:val="00B3189D"/>
    <w:pPr>
      <w:spacing w:before="100" w:beforeAutospacing="1" w:after="100" w:afterAutospacing="1" w:line="240" w:lineRule="auto"/>
    </w:pPr>
    <w:rPr>
      <w:rFonts w:ascii="Times New Roman" w:eastAsia="Arial" w:hAnsi="Times New Roman" w:cs="Times New Roman"/>
      <w:color w:val="auto"/>
      <w:sz w:val="24"/>
      <w:szCs w:val="24"/>
    </w:rPr>
  </w:style>
  <w:style w:type="paragraph" w:customStyle="1" w:styleId="14">
    <w:name w:val="Кольоровий список — акцент 1"/>
    <w:basedOn w:val="a"/>
    <w:uiPriority w:val="99"/>
    <w:rsid w:val="00B3189D"/>
    <w:pPr>
      <w:spacing w:line="240" w:lineRule="auto"/>
      <w:ind w:left="720"/>
    </w:pPr>
    <w:rPr>
      <w:rFonts w:ascii="Times New Roman" w:hAnsi="Times New Roman" w:cs="Times New Roman"/>
      <w:color w:val="auto"/>
      <w:sz w:val="24"/>
      <w:szCs w:val="24"/>
      <w:lang w:val="ru-RU"/>
    </w:rPr>
  </w:style>
  <w:style w:type="paragraph" w:customStyle="1" w:styleId="aa">
    <w:name w:val="Нормальний текст"/>
    <w:basedOn w:val="a"/>
    <w:uiPriority w:val="99"/>
    <w:rsid w:val="00B3189D"/>
    <w:pPr>
      <w:spacing w:before="120" w:line="240" w:lineRule="auto"/>
      <w:ind w:firstLine="567"/>
      <w:jc w:val="both"/>
    </w:pPr>
    <w:rPr>
      <w:rFonts w:ascii="Antiqua" w:eastAsia="Arial" w:hAnsi="Antiqua" w:cs="Times New Roman"/>
      <w:color w:val="auto"/>
      <w:sz w:val="26"/>
    </w:rPr>
  </w:style>
  <w:style w:type="paragraph" w:customStyle="1" w:styleId="ParagraphStyle">
    <w:name w:val="Paragraph Style"/>
    <w:uiPriority w:val="99"/>
    <w:rsid w:val="00B3189D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 New" w:hAnsi="Courier New" w:cs="Courier New"/>
      <w:position w:val="-1"/>
      <w:sz w:val="24"/>
      <w:szCs w:val="24"/>
      <w:lang w:val="ru-RU"/>
    </w:rPr>
  </w:style>
  <w:style w:type="character" w:customStyle="1" w:styleId="StyleProp0">
    <w:name w:val="StyleProp Знак"/>
    <w:uiPriority w:val="99"/>
    <w:rsid w:val="00B3189D"/>
    <w:rPr>
      <w:rFonts w:ascii="Times New Roman" w:hAnsi="Times New Roman"/>
      <w:w w:val="100"/>
      <w:sz w:val="18"/>
      <w:effect w:val="none"/>
      <w:vertAlign w:val="baseline"/>
      <w:em w:val="none"/>
      <w:lang w:eastAsia="ru-RU"/>
    </w:rPr>
  </w:style>
  <w:style w:type="character" w:customStyle="1" w:styleId="st42">
    <w:name w:val="st42"/>
    <w:uiPriority w:val="99"/>
    <w:rsid w:val="00B3189D"/>
    <w:rPr>
      <w:rFonts w:ascii="Times New Roman" w:hAnsi="Times New Roman"/>
      <w:color w:val="000000"/>
      <w:w w:val="100"/>
      <w:effect w:val="none"/>
      <w:vertAlign w:val="baseline"/>
      <w:em w:val="none"/>
    </w:rPr>
  </w:style>
  <w:style w:type="character" w:customStyle="1" w:styleId="rvts9">
    <w:name w:val="rvts9"/>
    <w:uiPriority w:val="99"/>
    <w:rsid w:val="00B3189D"/>
    <w:rPr>
      <w:w w:val="100"/>
      <w:effect w:val="none"/>
      <w:vertAlign w:val="baseline"/>
      <w:em w:val="none"/>
    </w:rPr>
  </w:style>
  <w:style w:type="paragraph" w:styleId="HTML">
    <w:name w:val="HTML Preformatted"/>
    <w:basedOn w:val="a"/>
    <w:link w:val="HTML0"/>
    <w:uiPriority w:val="99"/>
    <w:rsid w:val="00B318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Arial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3189D"/>
    <w:rPr>
      <w:rFonts w:ascii="Courier New" w:hAnsi="Courier New" w:cs="Times New Roman"/>
      <w:w w:val="100"/>
      <w:effect w:val="none"/>
      <w:vertAlign w:val="baseline"/>
      <w:em w:val="none"/>
    </w:rPr>
  </w:style>
  <w:style w:type="character" w:customStyle="1" w:styleId="21">
    <w:name w:val="Заголовок №2_"/>
    <w:uiPriority w:val="99"/>
    <w:rsid w:val="00B3189D"/>
    <w:rPr>
      <w:rFonts w:ascii="Times New Roman" w:hAnsi="Times New Roman"/>
      <w:b/>
      <w:w w:val="100"/>
      <w:sz w:val="28"/>
      <w:effect w:val="none"/>
      <w:shd w:val="clear" w:color="auto" w:fill="FFFFFF"/>
      <w:vertAlign w:val="baseline"/>
      <w:em w:val="none"/>
    </w:rPr>
  </w:style>
  <w:style w:type="paragraph" w:customStyle="1" w:styleId="22">
    <w:name w:val="Заголовок №2"/>
    <w:basedOn w:val="a"/>
    <w:uiPriority w:val="99"/>
    <w:rsid w:val="00B3189D"/>
    <w:pPr>
      <w:widowControl w:val="0"/>
      <w:shd w:val="clear" w:color="auto" w:fill="FFFFFF"/>
      <w:spacing w:before="240" w:after="360" w:line="240" w:lineRule="atLeast"/>
      <w:ind w:firstLine="940"/>
      <w:jc w:val="both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23">
    <w:name w:val="Body Text 2"/>
    <w:basedOn w:val="a"/>
    <w:link w:val="24"/>
    <w:uiPriority w:val="99"/>
    <w:rsid w:val="00B3189D"/>
    <w:pPr>
      <w:spacing w:after="120" w:line="480" w:lineRule="auto"/>
    </w:pPr>
    <w:rPr>
      <w:rFonts w:cs="Times New Roman"/>
    </w:rPr>
  </w:style>
  <w:style w:type="character" w:customStyle="1" w:styleId="24">
    <w:name w:val="Основной текст 2 Знак"/>
    <w:basedOn w:val="a0"/>
    <w:link w:val="23"/>
    <w:uiPriority w:val="99"/>
    <w:locked/>
    <w:rsid w:val="00B3189D"/>
    <w:rPr>
      <w:rFonts w:ascii="Arial" w:hAnsi="Arial" w:cs="Times New Roman"/>
      <w:color w:val="000000"/>
      <w:w w:val="100"/>
      <w:sz w:val="22"/>
      <w:effect w:val="none"/>
      <w:vertAlign w:val="baseline"/>
      <w:em w:val="none"/>
    </w:rPr>
  </w:style>
  <w:style w:type="character" w:customStyle="1" w:styleId="FontStyle">
    <w:name w:val="Font Style"/>
    <w:uiPriority w:val="99"/>
    <w:rsid w:val="00B3189D"/>
    <w:rPr>
      <w:color w:val="000000"/>
      <w:w w:val="100"/>
      <w:sz w:val="20"/>
      <w:effect w:val="none"/>
      <w:vertAlign w:val="baseline"/>
      <w:em w:val="none"/>
    </w:rPr>
  </w:style>
  <w:style w:type="paragraph" w:styleId="ab">
    <w:name w:val="List Paragraph"/>
    <w:basedOn w:val="a"/>
    <w:uiPriority w:val="99"/>
    <w:qFormat/>
    <w:rsid w:val="00B3189D"/>
    <w:pPr>
      <w:ind w:left="708"/>
    </w:pPr>
  </w:style>
  <w:style w:type="paragraph" w:customStyle="1" w:styleId="StyleProp2">
    <w:name w:val="StyleProp2"/>
    <w:basedOn w:val="a"/>
    <w:uiPriority w:val="99"/>
    <w:rsid w:val="00B3189D"/>
    <w:pPr>
      <w:spacing w:after="120"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</w:rPr>
  </w:style>
  <w:style w:type="paragraph" w:styleId="ac">
    <w:name w:val="Balloon Text"/>
    <w:basedOn w:val="a"/>
    <w:link w:val="ad"/>
    <w:uiPriority w:val="99"/>
    <w:rsid w:val="00B318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B3189D"/>
    <w:rPr>
      <w:rFonts w:ascii="Tahoma" w:hAnsi="Tahoma" w:cs="Tahoma"/>
      <w:color w:val="000000"/>
      <w:w w:val="100"/>
      <w:sz w:val="16"/>
      <w:szCs w:val="16"/>
      <w:effect w:val="none"/>
      <w:vertAlign w:val="baseline"/>
      <w:em w:val="none"/>
      <w:lang w:val="uk-UA" w:eastAsia="uk-UA"/>
    </w:rPr>
  </w:style>
  <w:style w:type="paragraph" w:styleId="ae">
    <w:name w:val="header"/>
    <w:basedOn w:val="a"/>
    <w:link w:val="af"/>
    <w:uiPriority w:val="99"/>
    <w:rsid w:val="00B3189D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B3189D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0">
    <w:name w:val="footer"/>
    <w:basedOn w:val="a"/>
    <w:link w:val="af1"/>
    <w:uiPriority w:val="99"/>
    <w:rsid w:val="00B3189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B3189D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2">
    <w:name w:val="footnote text"/>
    <w:basedOn w:val="a"/>
    <w:link w:val="af3"/>
    <w:uiPriority w:val="99"/>
    <w:rsid w:val="00B3189D"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B3189D"/>
    <w:rPr>
      <w:rFonts w:ascii="Arial" w:hAnsi="Arial" w:cs="Arial"/>
      <w:color w:val="000000"/>
      <w:w w:val="100"/>
      <w:effect w:val="none"/>
      <w:vertAlign w:val="baseline"/>
      <w:em w:val="none"/>
      <w:lang w:val="uk-UA" w:eastAsia="uk-UA"/>
    </w:rPr>
  </w:style>
  <w:style w:type="character" w:styleId="af4">
    <w:name w:val="footnote reference"/>
    <w:basedOn w:val="a0"/>
    <w:uiPriority w:val="99"/>
    <w:rsid w:val="00B3189D"/>
    <w:rPr>
      <w:rFonts w:cs="Times New Roman"/>
      <w:w w:val="100"/>
      <w:effect w:val="none"/>
      <w:vertAlign w:val="superscript"/>
      <w:em w:val="none"/>
    </w:rPr>
  </w:style>
  <w:style w:type="paragraph" w:customStyle="1" w:styleId="Standard">
    <w:name w:val="Standard"/>
    <w:uiPriority w:val="99"/>
    <w:rsid w:val="00B3189D"/>
    <w:pPr>
      <w:autoSpaceDN w:val="0"/>
      <w:ind w:leftChars="-1" w:left="-1" w:hangingChars="1"/>
      <w:textDirection w:val="btLr"/>
      <w:textAlignment w:val="baseline"/>
      <w:outlineLvl w:val="0"/>
    </w:pPr>
    <w:rPr>
      <w:rFonts w:eastAsia="Times New Roman"/>
      <w:color w:val="000000"/>
      <w:kern w:val="3"/>
      <w:position w:val="-1"/>
      <w:szCs w:val="20"/>
    </w:rPr>
  </w:style>
  <w:style w:type="paragraph" w:customStyle="1" w:styleId="Textbody">
    <w:name w:val="Text body"/>
    <w:basedOn w:val="Standard"/>
    <w:uiPriority w:val="99"/>
    <w:rsid w:val="00B3189D"/>
    <w:pPr>
      <w:widowControl w:val="0"/>
      <w:spacing w:after="120" w:line="240" w:lineRule="auto"/>
    </w:pPr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paragraph" w:customStyle="1" w:styleId="15">
    <w:name w:val="Без интервала1"/>
    <w:uiPriority w:val="99"/>
    <w:rsid w:val="00B3189D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mbria" w:eastAsia="Times New Roman" w:hAnsi="Cambria"/>
      <w:position w:val="-1"/>
      <w:sz w:val="24"/>
      <w:szCs w:val="24"/>
      <w:lang w:val="ru-RU" w:eastAsia="en-US"/>
    </w:rPr>
  </w:style>
  <w:style w:type="paragraph" w:customStyle="1" w:styleId="3f3f3f3f3f3f3f3f3f3f3f3f3f3f3f3f3f3f3f3f3f3f3f3f3f3f3f3f3f3f3f3f3f3f3f3f3f3f3f3f3f3f3f3fHTML">
    <w:name w:val="С3f3f3f3fт3f3f3f3fа3f3f3f3fн3f3f3f3fд3f3f3f3fа3f3f3f3fр3f3f3f3fт3f3f3f3fн3f3f3f3fи3f3f3f3fй3f3f3f3f HTML"/>
    <w:basedOn w:val="a"/>
    <w:uiPriority w:val="99"/>
    <w:rsid w:val="00B318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 w:val="0"/>
      <w:autoSpaceDN w:val="0"/>
      <w:adjustRightInd w:val="0"/>
      <w:spacing w:line="240" w:lineRule="auto"/>
    </w:pPr>
    <w:rPr>
      <w:rFonts w:ascii="Courier New" w:hAnsi="Liberation Serif" w:cs="Courier New"/>
      <w:kern w:val="1"/>
      <w:sz w:val="24"/>
      <w:szCs w:val="24"/>
      <w:lang w:val="ru-RU"/>
    </w:rPr>
  </w:style>
  <w:style w:type="character" w:customStyle="1" w:styleId="25">
    <w:name w:val="Основний текст (2)_"/>
    <w:uiPriority w:val="99"/>
    <w:rsid w:val="00B3189D"/>
    <w:rPr>
      <w:spacing w:val="-10"/>
      <w:w w:val="100"/>
      <w:effect w:val="none"/>
      <w:shd w:val="clear" w:color="auto" w:fill="FFFFFF"/>
      <w:vertAlign w:val="baseline"/>
      <w:em w:val="none"/>
    </w:rPr>
  </w:style>
  <w:style w:type="paragraph" w:customStyle="1" w:styleId="26">
    <w:name w:val="Основний текст (2)"/>
    <w:basedOn w:val="a"/>
    <w:uiPriority w:val="99"/>
    <w:rsid w:val="00B3189D"/>
    <w:pPr>
      <w:widowControl w:val="0"/>
      <w:shd w:val="clear" w:color="auto" w:fill="FFFFFF"/>
      <w:spacing w:before="360" w:after="360" w:line="240" w:lineRule="atLeast"/>
      <w:ind w:hanging="480"/>
      <w:jc w:val="both"/>
    </w:pPr>
    <w:rPr>
      <w:rFonts w:ascii="Calibri" w:hAnsi="Calibri" w:cs="Times New Roman"/>
      <w:color w:val="auto"/>
      <w:spacing w:val="-10"/>
      <w:sz w:val="20"/>
    </w:rPr>
  </w:style>
  <w:style w:type="paragraph" w:customStyle="1" w:styleId="16">
    <w:name w:val="Абзац списка1"/>
    <w:basedOn w:val="a"/>
    <w:uiPriority w:val="99"/>
    <w:rsid w:val="00B3189D"/>
    <w:pPr>
      <w:spacing w:after="160" w:line="259" w:lineRule="auto"/>
      <w:ind w:left="720"/>
    </w:pPr>
    <w:rPr>
      <w:rFonts w:ascii="Calibri" w:eastAsia="Arial" w:hAnsi="Calibri" w:cs="Times New Roman"/>
      <w:color w:val="auto"/>
      <w:szCs w:val="22"/>
      <w:lang w:eastAsia="en-US"/>
    </w:rPr>
  </w:style>
  <w:style w:type="character" w:customStyle="1" w:styleId="s3">
    <w:name w:val="s3"/>
    <w:uiPriority w:val="99"/>
    <w:rsid w:val="00B3189D"/>
    <w:rPr>
      <w:w w:val="100"/>
      <w:effect w:val="none"/>
      <w:vertAlign w:val="baseline"/>
      <w:em w:val="none"/>
    </w:rPr>
  </w:style>
  <w:style w:type="paragraph" w:styleId="af5">
    <w:name w:val="Body Text Indent"/>
    <w:basedOn w:val="a"/>
    <w:link w:val="af6"/>
    <w:uiPriority w:val="99"/>
    <w:rsid w:val="00B3189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B3189D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customStyle="1" w:styleId="110">
    <w:name w:val="Обычный11"/>
    <w:uiPriority w:val="99"/>
    <w:rsid w:val="00B3189D"/>
    <w:pPr>
      <w:suppressAutoHyphens/>
      <w:spacing w:after="200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af7">
    <w:name w:val="endnote text"/>
    <w:basedOn w:val="a"/>
    <w:link w:val="af8"/>
    <w:uiPriority w:val="99"/>
    <w:rsid w:val="00B3189D"/>
    <w:pPr>
      <w:spacing w:line="240" w:lineRule="auto"/>
    </w:pPr>
    <w:rPr>
      <w:rFonts w:ascii="Calibri" w:hAnsi="Calibri" w:cs="Times New Roman"/>
      <w:color w:val="auto"/>
      <w:sz w:val="20"/>
      <w:lang w:val="ru-RU" w:eastAsia="en-US"/>
    </w:rPr>
  </w:style>
  <w:style w:type="character" w:customStyle="1" w:styleId="af8">
    <w:name w:val="Текст концевой сноски Знак"/>
    <w:basedOn w:val="a0"/>
    <w:link w:val="af7"/>
    <w:uiPriority w:val="99"/>
    <w:locked/>
    <w:rsid w:val="00B3189D"/>
    <w:rPr>
      <w:rFonts w:cs="Times New Roman"/>
      <w:w w:val="100"/>
      <w:effect w:val="none"/>
      <w:vertAlign w:val="baseline"/>
      <w:em w:val="none"/>
      <w:lang w:eastAsia="en-US"/>
    </w:rPr>
  </w:style>
  <w:style w:type="character" w:styleId="af9">
    <w:name w:val="endnote reference"/>
    <w:basedOn w:val="a0"/>
    <w:uiPriority w:val="99"/>
    <w:rsid w:val="00B3189D"/>
    <w:rPr>
      <w:rFonts w:cs="Times New Roman"/>
      <w:w w:val="100"/>
      <w:effect w:val="none"/>
      <w:vertAlign w:val="superscript"/>
      <w:em w:val="none"/>
    </w:rPr>
  </w:style>
  <w:style w:type="paragraph" w:customStyle="1" w:styleId="afa">
    <w:name w:val="Стиль"/>
    <w:basedOn w:val="a"/>
    <w:uiPriority w:val="99"/>
    <w:rsid w:val="00B3189D"/>
    <w:pPr>
      <w:spacing w:line="240" w:lineRule="auto"/>
    </w:pPr>
    <w:rPr>
      <w:rFonts w:ascii="Verdana" w:hAnsi="Verdana" w:cs="Verdana"/>
      <w:color w:val="auto"/>
      <w:sz w:val="20"/>
      <w:lang w:val="en-US" w:eastAsia="en-US"/>
    </w:rPr>
  </w:style>
  <w:style w:type="paragraph" w:styleId="afb">
    <w:name w:val="Subtitle"/>
    <w:basedOn w:val="a"/>
    <w:next w:val="a"/>
    <w:link w:val="af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c">
    <w:name w:val="Подзаголовок Знак"/>
    <w:basedOn w:val="a0"/>
    <w:link w:val="afb"/>
    <w:uiPriority w:val="99"/>
    <w:locked/>
    <w:rsid w:val="00B3189D"/>
    <w:rPr>
      <w:rFonts w:ascii="Cambria" w:hAnsi="Cambria" w:cs="Times New Roman"/>
      <w:color w:val="000000"/>
      <w:sz w:val="24"/>
      <w:szCs w:val="24"/>
    </w:rPr>
  </w:style>
  <w:style w:type="table" w:customStyle="1" w:styleId="31">
    <w:name w:val="Стиль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Стиль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тиль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annotation text"/>
    <w:basedOn w:val="a"/>
    <w:link w:val="afe"/>
    <w:uiPriority w:val="99"/>
    <w:semiHidden/>
    <w:rsid w:val="00B3189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Arial" w:hAnsi="Calibri" w:cs="Calibri"/>
      <w:color w:val="auto"/>
      <w:position w:val="0"/>
      <w:sz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3189D"/>
    <w:rPr>
      <w:rFonts w:cs="Times New Roman"/>
    </w:rPr>
  </w:style>
  <w:style w:type="character" w:styleId="aff">
    <w:name w:val="annotation reference"/>
    <w:basedOn w:val="a0"/>
    <w:uiPriority w:val="99"/>
    <w:semiHidden/>
    <w:rsid w:val="00B3189D"/>
    <w:rPr>
      <w:rFonts w:cs="Times New Roman"/>
      <w:sz w:val="16"/>
      <w:szCs w:val="16"/>
    </w:rPr>
  </w:style>
  <w:style w:type="table" w:customStyle="1" w:styleId="150">
    <w:name w:val="Стиль1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0">
    <w:name w:val="Стиль1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0">
    <w:name w:val="Стиль1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0">
    <w:name w:val="Стиль1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1">
    <w:name w:val="Стиль1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Стиль10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Стиль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Стиль8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Стиль7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">
    <w:name w:val="Стиль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Стиль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Стиль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3">
    <w:name w:val="Стиль6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2">
    <w:name w:val="Стиль6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0">
    <w:name w:val="Стиль6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0">
    <w:name w:val="Стиль60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9">
    <w:name w:val="Стиль59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8">
    <w:name w:val="Стиль58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7">
    <w:name w:val="Стиль57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6">
    <w:name w:val="Стиль56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5">
    <w:name w:val="Стиль55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4">
    <w:name w:val="Стиль54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3">
    <w:name w:val="Стиль5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2">
    <w:name w:val="Стиль5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0">
    <w:name w:val="Стиль5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00">
    <w:name w:val="Стиль50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9">
    <w:name w:val="Стиль49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8">
    <w:name w:val="Стиль48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7">
    <w:name w:val="Стиль47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6">
    <w:name w:val="Стиль46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5">
    <w:name w:val="Стиль45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4">
    <w:name w:val="Стиль44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3">
    <w:name w:val="Стиль4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2">
    <w:name w:val="Стиль4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0">
    <w:name w:val="Стиль4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0">
    <w:name w:val="Стиль40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9">
    <w:name w:val="Стиль39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Стиль38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7">
    <w:name w:val="Стиль37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Стиль36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5">
    <w:name w:val="Стиль35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Стиль34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Стиль3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Стиль3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0">
    <w:name w:val="Стиль3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Стиль30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Стиль29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Стиль28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0">
    <w:name w:val="Стиль27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0">
    <w:name w:val="Стиль26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0">
    <w:name w:val="Стиль25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0">
    <w:name w:val="Стиль24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0">
    <w:name w:val="Стиль23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0">
    <w:name w:val="Стиль22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0">
    <w:name w:val="Стиль21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0">
    <w:name w:val="Стиль20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Стиль19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Стиль18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">
    <w:name w:val="Стиль17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">
    <w:name w:val="Стиль16"/>
    <w:uiPriority w:val="99"/>
    <w:rsid w:val="00B3189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2.rada.gov.ua/laws/show/1445-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mu.gov.ua/bills/proekt-zakonu-pro-vnesennya-zmin-do-deyakikh-zakonodavchikh-aktiv-ukraini-shchodo-identifikatsii-ta-reestratsii-tvar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VoGm69EpnnSVqoUZzNZpblrZEA==">AMUW2mUHeXHrWHuFb1RIX/VSe7h1aMhkCHTDqWd+WK78WKIpRZuo7qFJxP3UPgJsnYIbihRppqIGiT0vAhJX+SglKC4KjoX469Hzv33GWVUwHgy5iCHYtT3zrH0Je+Mg1QLS4Yju6l1h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Тарас</cp:lastModifiedBy>
  <cp:revision>2</cp:revision>
  <dcterms:created xsi:type="dcterms:W3CDTF">2021-11-26T11:42:00Z</dcterms:created>
  <dcterms:modified xsi:type="dcterms:W3CDTF">2021-11-26T11:42:00Z</dcterms:modified>
</cp:coreProperties>
</file>