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6AD" w:rsidRDefault="00BF26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f5"/>
        <w:tblW w:w="889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0"/>
        <w:gridCol w:w="8637"/>
      </w:tblGrid>
      <w:tr w:rsidR="00BF26AD">
        <w:trPr>
          <w:trHeight w:val="294"/>
        </w:trPr>
        <w:tc>
          <w:tcPr>
            <w:tcW w:w="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26AD" w:rsidRDefault="00DA07F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26AD" w:rsidRDefault="00DA07F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eastAsia="Times New Roman" w:hAnsi="Times New Roman" w:cs="Times New Roman"/>
                <w:b/>
                <w:sz w:val="56"/>
                <w:szCs w:val="56"/>
              </w:rPr>
              <w:t>2805-д</w:t>
            </w:r>
          </w:p>
        </w:tc>
      </w:tr>
    </w:tbl>
    <w:p w:rsidR="00BF26AD" w:rsidRDefault="00DA07F7" w:rsidP="003322D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ВИСНОВОК</w:t>
      </w:r>
    </w:p>
    <w:p w:rsidR="00BF26AD" w:rsidRDefault="00DA07F7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результатами проведення</w:t>
      </w:r>
    </w:p>
    <w:p w:rsidR="00BF26AD" w:rsidRDefault="00DA07F7">
      <w:pPr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антикорупційної експертизи законопроєкту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tbl>
      <w:tblPr>
        <w:tblStyle w:val="af6"/>
        <w:tblW w:w="95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2"/>
        <w:gridCol w:w="7024"/>
      </w:tblGrid>
      <w:tr w:rsidR="00BF26AD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26AD" w:rsidRDefault="00DA0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 акту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26AD" w:rsidRDefault="00DA07F7">
            <w:pPr>
              <w:keepNext/>
              <w:keepLines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внесення змін до Закону України “Про аграрні розписки” та деяких інших законодавчих актів України щодо функціонування та обігу аграрних розписок</w:t>
            </w:r>
          </w:p>
        </w:tc>
      </w:tr>
      <w:tr w:rsidR="00BF26AD"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26AD" w:rsidRDefault="00DA0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реєстрації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26AD" w:rsidRDefault="00DA07F7">
            <w:pPr>
              <w:keepNext/>
              <w:keepLines/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19.11.2020</w:t>
            </w:r>
          </w:p>
        </w:tc>
      </w:tr>
      <w:tr w:rsidR="00BF26AD">
        <w:trPr>
          <w:trHeight w:val="761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26AD" w:rsidRDefault="00DA0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Суб’єкт права законодавчої ініціативи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26AD" w:rsidRDefault="00DA0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Народні депутати України</w:t>
            </w:r>
          </w:p>
          <w:p w:rsidR="00BF26AD" w:rsidRDefault="00DA07F7">
            <w:pPr>
              <w:pBdr>
                <w:bottom w:val="none" w:sz="0" w:space="2" w:color="auto"/>
              </w:pBd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Гетманцев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Данило Олександрович</w:t>
            </w:r>
          </w:p>
          <w:p w:rsidR="00BF26AD" w:rsidRDefault="00DA07F7">
            <w:pPr>
              <w:pBdr>
                <w:bottom w:val="none" w:sz="0" w:space="2" w:color="auto"/>
              </w:pBd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Кінзбурська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Вікторія Олександрівна</w:t>
            </w:r>
          </w:p>
          <w:p w:rsidR="00BF26AD" w:rsidRDefault="00DA07F7">
            <w:pPr>
              <w:pBdr>
                <w:bottom w:val="none" w:sz="0" w:space="2" w:color="auto"/>
              </w:pBd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Колісник Анна Сергіївна</w:t>
            </w:r>
          </w:p>
          <w:p w:rsidR="00BF26AD" w:rsidRDefault="00DA07F7">
            <w:pPr>
              <w:pBdr>
                <w:bottom w:val="none" w:sz="0" w:space="2" w:color="auto"/>
              </w:pBd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Кулініч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Олег Іванович</w:t>
            </w:r>
          </w:p>
          <w:p w:rsidR="00BF26AD" w:rsidRDefault="00DA07F7">
            <w:pPr>
              <w:pBdr>
                <w:bottom w:val="none" w:sz="0" w:space="2" w:color="auto"/>
              </w:pBd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Абрамович Ігор Олександрович</w:t>
            </w:r>
          </w:p>
          <w:p w:rsidR="00BF26AD" w:rsidRDefault="00DA07F7">
            <w:pPr>
              <w:pBdr>
                <w:bottom w:val="none" w:sz="0" w:space="2" w:color="auto"/>
              </w:pBd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Петруняк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Євген Васильович</w:t>
            </w:r>
          </w:p>
          <w:p w:rsidR="00BF26AD" w:rsidRDefault="00DA07F7">
            <w:pPr>
              <w:pBdr>
                <w:bottom w:val="none" w:sz="0" w:space="2" w:color="auto"/>
              </w:pBd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Діденко Юлія Олександрівна</w:t>
            </w:r>
          </w:p>
          <w:p w:rsidR="00BF26AD" w:rsidRDefault="00DA07F7">
            <w:pPr>
              <w:pBdr>
                <w:bottom w:val="none" w:sz="0" w:space="2" w:color="auto"/>
              </w:pBd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Ніколаєнко Андрій Іванович</w:t>
            </w:r>
          </w:p>
          <w:p w:rsidR="00BF26AD" w:rsidRDefault="00DA07F7">
            <w:pPr>
              <w:pBdr>
                <w:bottom w:val="none" w:sz="0" w:space="2" w:color="auto"/>
              </w:pBd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Мотовиловець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Андрій Вікторович</w:t>
            </w:r>
          </w:p>
          <w:p w:rsidR="00BF26AD" w:rsidRDefault="00DA07F7">
            <w:pPr>
              <w:pBdr>
                <w:bottom w:val="none" w:sz="0" w:space="2" w:color="auto"/>
              </w:pBd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Сова Олександр Георгійович</w:t>
            </w:r>
          </w:p>
          <w:p w:rsidR="00BF26AD" w:rsidRDefault="00DA07F7">
            <w:pPr>
              <w:pBdr>
                <w:bottom w:val="none" w:sz="0" w:space="2" w:color="auto"/>
              </w:pBd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Василевська-Смаглюк Ольга Михайлівна</w:t>
            </w:r>
          </w:p>
          <w:p w:rsidR="00BF26AD" w:rsidRDefault="00DA07F7">
            <w:pPr>
              <w:pBdr>
                <w:bottom w:val="none" w:sz="0" w:space="2" w:color="auto"/>
              </w:pBd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Аллахвердієва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Ірина Валеріївна</w:t>
            </w:r>
          </w:p>
        </w:tc>
      </w:tr>
      <w:tr w:rsidR="00BF26AD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26AD" w:rsidRDefault="00DA0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Головний комітет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26AD" w:rsidRDefault="00DA0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Комітет з питань фінансів, податкової та митної політики</w:t>
            </w:r>
          </w:p>
        </w:tc>
      </w:tr>
      <w:tr w:rsidR="00BF26AD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26AD" w:rsidRDefault="00DA0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Висновок та рекомендації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26AD" w:rsidRDefault="00DA07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Негативний –  містить корупціогенні фактори та інші зауваження</w:t>
            </w:r>
          </w:p>
        </w:tc>
      </w:tr>
    </w:tbl>
    <w:p w:rsidR="00BF26AD" w:rsidRDefault="00BF26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 законопроекту</w:t>
      </w: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Законопроєктом пропонується:</w:t>
      </w: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визначити правову природу аграрної розписки як неемісійного цінного паперу;</w:t>
      </w: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розширити коло суб’єктів, які мають право видавати аграрні розписки;</w:t>
      </w: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уточнити правове регулювання аграрних розписок;</w:t>
      </w: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надати можливість вчинення операцій щодо аграрних розпи</w:t>
      </w:r>
      <w:r>
        <w:rPr>
          <w:rFonts w:ascii="Times New Roman" w:eastAsia="Times New Roman" w:hAnsi="Times New Roman" w:cs="Times New Roman"/>
          <w:sz w:val="24"/>
          <w:szCs w:val="24"/>
        </w:rPr>
        <w:t>сок з використанням електронного підпису учасників правовідносин;</w:t>
      </w: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спростити порядок видачі, обігу та припинення аграрних розписок з можливістю їх передачі в депозитарній системі України;</w:t>
      </w: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підвищити оборотоздатність аграрних розписок через механізми ринк</w:t>
      </w:r>
      <w:r>
        <w:rPr>
          <w:rFonts w:ascii="Times New Roman" w:eastAsia="Times New Roman" w:hAnsi="Times New Roman" w:cs="Times New Roman"/>
          <w:sz w:val="24"/>
          <w:szCs w:val="24"/>
        </w:rPr>
        <w:t>у капіталу, зокрема, регульовані ринки;</w:t>
      </w: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розширити можливі варіанти застави за аграрною розпискою, в тому числі передбачивши можливість і правила застави живих тварин та продуктів тваринного походження, продуктів їх первинної переробки і тим самим створив</w:t>
      </w:r>
      <w:r>
        <w:rPr>
          <w:rFonts w:ascii="Times New Roman" w:eastAsia="Times New Roman" w:hAnsi="Times New Roman" w:cs="Times New Roman"/>
          <w:sz w:val="24"/>
          <w:szCs w:val="24"/>
        </w:rPr>
        <w:t>ши умови для залучення ресурсів у тваринницькі господарства;</w:t>
      </w: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створити правові умови видачі багаторічних аграрних розписок, виконання за якими відбуватиметься частинами;</w:t>
      </w: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посилити гарантії прав кредиторів на випадок примусового виконання.</w:t>
      </w:r>
    </w:p>
    <w:p w:rsidR="00BF26AD" w:rsidRDefault="00BF26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26AD" w:rsidRDefault="00DA07F7">
      <w:pPr>
        <w:spacing w:line="240" w:lineRule="auto"/>
        <w:ind w:left="-2" w:firstLine="71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 результаті 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роведення антикорупційної експертизи законопроєкту Інститут законодавчих ідей виявив в його положеннях корупціогенний фактор та зауваження по суті.</w:t>
      </w:r>
    </w:p>
    <w:p w:rsidR="00BF26AD" w:rsidRDefault="00BF26A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26AD" w:rsidRDefault="00DA07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Резюме</w:t>
      </w:r>
    </w:p>
    <w:p w:rsidR="003322D6" w:rsidRPr="003322D6" w:rsidRDefault="003322D6" w:rsidP="003322D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22D6">
        <w:rPr>
          <w:rFonts w:ascii="Times New Roman" w:eastAsia="Times New Roman" w:hAnsi="Times New Roman" w:cs="Times New Roman"/>
          <w:b/>
          <w:sz w:val="24"/>
          <w:szCs w:val="24"/>
        </w:rPr>
        <w:t>Надмірні дискреційні повноваження</w:t>
      </w:r>
    </w:p>
    <w:p w:rsidR="00BF26AD" w:rsidRDefault="003322D6" w:rsidP="003322D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2D6">
        <w:rPr>
          <w:rFonts w:ascii="Times New Roman" w:eastAsia="Times New Roman" w:hAnsi="Times New Roman" w:cs="Times New Roman"/>
          <w:sz w:val="24"/>
          <w:szCs w:val="24"/>
        </w:rPr>
        <w:t>Мінагрополітики може довільно на власний розсуд визначати адміністратора Реєстру аграрних розписок.</w:t>
      </w:r>
    </w:p>
    <w:p w:rsidR="003322D6" w:rsidRDefault="003322D6">
      <w:pPr>
        <w:spacing w:line="240" w:lineRule="auto"/>
        <w:ind w:left="-2" w:firstLine="7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26AD" w:rsidRDefault="00DA07F7">
      <w:pPr>
        <w:spacing w:line="240" w:lineRule="auto"/>
        <w:ind w:left="-2" w:firstLine="7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Повний аналіз</w:t>
      </w:r>
    </w:p>
    <w:p w:rsidR="00BF26AD" w:rsidRDefault="00BF26AD">
      <w:pPr>
        <w:spacing w:line="240" w:lineRule="auto"/>
        <w:ind w:left="-2" w:firstLine="7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26AD" w:rsidRDefault="00DA07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Надмірні дискреційні повноваження</w:t>
      </w:r>
    </w:p>
    <w:p w:rsidR="00BF26AD" w:rsidRDefault="00DA07F7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частини 2 статті 10 законопроєкту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Мінагрополітики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визначає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адміністратора Реєстру аграрних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розписок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яким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може бути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юридична особа державної форми власності, уповноважує його здійснювати заходи із створення та супроводження програмного забезпечення Реєстру аграрних розписок та відповідати за технічне і технологічне забезпечення, збереження та за</w:t>
      </w:r>
      <w:r>
        <w:rPr>
          <w:rFonts w:ascii="Times New Roman" w:eastAsia="Times New Roman" w:hAnsi="Times New Roman" w:cs="Times New Roman"/>
          <w:sz w:val="24"/>
          <w:szCs w:val="24"/>
        </w:rPr>
        <w:t>хист даних, що містяться в Реєстрі аграрних розписок.</w:t>
      </w:r>
    </w:p>
    <w:p w:rsidR="00BF26AD" w:rsidRDefault="00DA07F7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цьому, законопроєктом не встановлено:</w:t>
      </w:r>
    </w:p>
    <w:p w:rsidR="00BF26AD" w:rsidRDefault="00DA07F7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порядок визначення адміністратора Реєстру аграрних розписок;</w:t>
      </w:r>
    </w:p>
    <w:p w:rsidR="00BF26AD" w:rsidRDefault="00DA07F7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кваліфікаційні вимоги до адміністратора Реєстру аграрних розписок.</w:t>
      </w:r>
    </w:p>
    <w:p w:rsidR="00BF26AD" w:rsidRDefault="00DA07F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Відсутність чіткої процедури створює непрозорий механізм визначення адміністратора Реєстру аграрних розписок. Як наслідок, Мінагрополітики матиме змогу упереджено та суб'єктивно визначати адміністратора Реєстру аграрних розписок. Це створює підстави для ко</w:t>
      </w:r>
      <w:r>
        <w:rPr>
          <w:rFonts w:ascii="Times New Roman" w:eastAsia="Times New Roman" w:hAnsi="Times New Roman" w:cs="Times New Roman"/>
          <w:sz w:val="24"/>
          <w:szCs w:val="24"/>
        </w:rPr>
        <w:t>рупційних ризиків та зловживань під час реалізації відповідних повноважень.</w:t>
      </w:r>
    </w:p>
    <w:p w:rsidR="00BF26AD" w:rsidRDefault="00DA07F7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Крім цього, вважаємо, що виконання функцій адміністратора Реєстру аграрних розписок більш притаманне юридичним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особм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державної форми власності, а передбаченням слів “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може бути</w:t>
      </w:r>
      <w:r>
        <w:rPr>
          <w:rFonts w:ascii="Times New Roman" w:eastAsia="Times New Roman" w:hAnsi="Times New Roman" w:cs="Times New Roman"/>
          <w:sz w:val="24"/>
          <w:szCs w:val="24"/>
        </w:rPr>
        <w:t>” дер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жава зі свого боку надає можливість для виконання таких функцій і приватним компаніям. </w:t>
      </w:r>
    </w:p>
    <w:p w:rsidR="00BF26AD" w:rsidRDefault="00DA07F7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усунення корупційного ризику, в законопроєкті потрібно встановити порядок визначення та чіткі вимоги до адміністратора Реєстру аграрних розписок.</w:t>
      </w:r>
    </w:p>
    <w:p w:rsidR="00BF26AD" w:rsidRDefault="00BF26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Інші з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ауваження</w:t>
      </w: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1.Частиною 7 статті 2 законопроєкту передбачено, що боржник, кредитор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або інша особа</w:t>
      </w:r>
      <w:r>
        <w:rPr>
          <w:rFonts w:ascii="Times New Roman" w:eastAsia="Times New Roman" w:hAnsi="Times New Roman" w:cs="Times New Roman"/>
          <w:sz w:val="24"/>
          <w:szCs w:val="24"/>
        </w:rPr>
        <w:t>, яка несе солідарну відповідальність за аграрною розпискою, має право на отримання виписки з Реєстру аграрних розписок.</w:t>
      </w: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Проте, у законопроєкті чітко не визначено, які саме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інші особи</w:t>
      </w:r>
      <w:r>
        <w:rPr>
          <w:rFonts w:ascii="Times New Roman" w:eastAsia="Times New Roman" w:hAnsi="Times New Roman" w:cs="Times New Roman"/>
          <w:sz w:val="24"/>
          <w:szCs w:val="24"/>
        </w:rPr>
        <w:t>” можуть нести солідарну відповідальність, що суперечить принципу правової визначеності, який є одним із елементів конституційного принципу верховенства права (Рішення Конституційного Суду України № 1-р/2018 від 27 лютого 2018 року).</w:t>
      </w:r>
    </w:p>
    <w:p w:rsidR="00BF26AD" w:rsidRDefault="00BF26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26AD" w:rsidRDefault="00DA07F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Згідно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із частиною 1 статті 8 законопроєкту кредитор має право самостійно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або із залученням третіх осіб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здійснювати моніторинг предмету застави за аграрною розпискою. Моніторинг може здійснюватися протягом всього строку дії застави, якщо інше не встановлено за </w:t>
      </w:r>
      <w:r>
        <w:rPr>
          <w:rFonts w:ascii="Times New Roman" w:eastAsia="Times New Roman" w:hAnsi="Times New Roman" w:cs="Times New Roman"/>
          <w:sz w:val="24"/>
          <w:szCs w:val="24"/>
        </w:rPr>
        <w:t>домовленістю між боржником та кредитором.</w:t>
      </w:r>
    </w:p>
    <w:p w:rsidR="00BF26AD" w:rsidRDefault="00DA07F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Крім того, частиною п’ятою цієї ж статті передбачається, що у разі виявлення під час моніторингу порушень боржником технологічних процесів вирощування/збирання/виробництва/утримання предмета застави за аграрною роз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пискою, які ставлять під загрозу отримання майбутньої сільськогосподарської продукції у звичайному обсязі, кредитор має право скласти акт про порушення технології вирощування/збирання/виробництва/утримання предмета застави та вимагати від боржника усунути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таке порушення у визначений у такому акті строк. Якщо вимоги, викладені в акті про порушення технології вирощування/збирання/виробництва/утримання предмета застави або його якості, не будуть усунуті боржником самостійно протягом зазначеного в акті строку,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кредитор має право за аграрною розпискою з метою порятунку предмета застави самостійно або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із залученням третіх осіб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завершити вирощування/збирання/виробництво/утримання предмета застави, з дотриманням відповідних технологічних процесів. </w:t>
      </w:r>
    </w:p>
    <w:p w:rsidR="00BF26AD" w:rsidRDefault="00DA07F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Але законопроєкто</w:t>
      </w:r>
      <w:r>
        <w:rPr>
          <w:rFonts w:ascii="Times New Roman" w:eastAsia="Times New Roman" w:hAnsi="Times New Roman" w:cs="Times New Roman"/>
          <w:sz w:val="24"/>
          <w:szCs w:val="24"/>
        </w:rPr>
        <w:t>м не встановлено порядок залучення таких “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третіх осіб</w:t>
      </w:r>
      <w:r>
        <w:rPr>
          <w:rFonts w:ascii="Times New Roman" w:eastAsia="Times New Roman" w:hAnsi="Times New Roman" w:cs="Times New Roman"/>
          <w:sz w:val="24"/>
          <w:szCs w:val="24"/>
        </w:rPr>
        <w:t>”, хоча такий моніторинг має ознаки свого роду “контрольної перевірки виробничих процесів”. Довільне залучення “третіх осіб”, наприклад, може сприяти втраті малими фермерськими господарствами контролю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 їх урожаєм та порушенню їх законних прав.  </w:t>
      </w:r>
    </w:p>
    <w:p w:rsidR="00BF26AD" w:rsidRDefault="00BF26A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26AD" w:rsidRDefault="00DA07F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Відповідно до частини 6 статті 8 законопроєкту у разі незгоди з вимогами, викладеними в акті про порушення технології виробництва (переробки) та/або якості предмета застави, боржник має право звернутися до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організації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визначеної за домовленістю між боржником та кредитором, для вирішення зазначених спорів. </w:t>
      </w:r>
    </w:p>
    <w:p w:rsidR="00BF26AD" w:rsidRDefault="00DA07F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Однак, законопроєктом не встановлено вимоги до такої організації. </w:t>
      </w:r>
    </w:p>
    <w:p w:rsidR="00BF26AD" w:rsidRDefault="00BF26A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26AD" w:rsidRDefault="00DA07F7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Законопроєктом застосовуються визначення того чи іншого строку (частина 4 статті 2</w:t>
      </w:r>
      <w:r>
        <w:rPr>
          <w:rFonts w:ascii="Times New Roman" w:eastAsia="Times New Roman" w:hAnsi="Times New Roman" w:cs="Times New Roman"/>
          <w:sz w:val="24"/>
          <w:szCs w:val="24"/>
        </w:rPr>
        <w:t>, частина 3 статті 7, частина 4 статті 14, частина 7 статті 14), зокрема, у вигляді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протягом п’яти робочих днів</w:t>
      </w:r>
      <w:r>
        <w:rPr>
          <w:rFonts w:ascii="Times New Roman" w:eastAsia="Times New Roman" w:hAnsi="Times New Roman" w:cs="Times New Roman"/>
          <w:sz w:val="24"/>
          <w:szCs w:val="24"/>
        </w:rPr>
        <w:t>”,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протягом 5 робочих днів</w:t>
      </w:r>
      <w:r>
        <w:rPr>
          <w:rFonts w:ascii="Times New Roman" w:eastAsia="Times New Roman" w:hAnsi="Times New Roman" w:cs="Times New Roman"/>
          <w:sz w:val="24"/>
          <w:szCs w:val="24"/>
        </w:rPr>
        <w:t>”,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протягом семи робочих днів</w:t>
      </w:r>
      <w:r>
        <w:rPr>
          <w:rFonts w:ascii="Times New Roman" w:eastAsia="Times New Roman" w:hAnsi="Times New Roman" w:cs="Times New Roman"/>
          <w:sz w:val="24"/>
          <w:szCs w:val="24"/>
        </w:rPr>
        <w:t>”,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протягом 3 днів</w:t>
      </w:r>
      <w:r>
        <w:rPr>
          <w:rFonts w:ascii="Times New Roman" w:eastAsia="Times New Roman" w:hAnsi="Times New Roman" w:cs="Times New Roman"/>
          <w:sz w:val="24"/>
          <w:szCs w:val="24"/>
        </w:rPr>
        <w:t>”,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протягом семи днів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</w:p>
    <w:p w:rsidR="00BF26AD" w:rsidRDefault="00DA07F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Враховуючи вимоги нормопроектувальної техн</w:t>
      </w:r>
      <w:r>
        <w:rPr>
          <w:rFonts w:ascii="Times New Roman" w:eastAsia="Times New Roman" w:hAnsi="Times New Roman" w:cs="Times New Roman"/>
          <w:sz w:val="24"/>
          <w:szCs w:val="24"/>
        </w:rPr>
        <w:t>іки, пропонуємо визначити єдиний підхід до встановлення часових меж, що буде сприяти прозорості та єдності термінології.</w:t>
      </w:r>
    </w:p>
    <w:p w:rsidR="00BF26AD" w:rsidRDefault="00BF26A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26AD" w:rsidRDefault="00DA07F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Позиції державних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стейкхолдерів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BF26AD" w:rsidRDefault="00DA07F7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>1. Міністерство розвитку економіки, торгівлі та сільського господарства України та Міністерство аграр</w:t>
      </w: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ної політики та продовольства України </w:t>
      </w:r>
      <w:r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 xml:space="preserve">підтримують </w:t>
      </w: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законопроєкт </w:t>
      </w:r>
      <w:r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за умови</w:t>
      </w: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його </w:t>
      </w:r>
      <w:r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доопрацювання</w:t>
      </w: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>.</w:t>
      </w:r>
    </w:p>
    <w:p w:rsidR="00BF26AD" w:rsidRDefault="00DA07F7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2. Міністерство фінансів України </w:t>
      </w:r>
      <w:r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 xml:space="preserve">підтримує </w:t>
      </w: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законопроєкт. </w:t>
      </w:r>
    </w:p>
    <w:p w:rsidR="00BF26AD" w:rsidRDefault="00DA07F7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3. Національна комісія з цінних паперів та фондового ринку України закликає </w:t>
      </w:r>
      <w:r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 xml:space="preserve">прийняти </w:t>
      </w: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>законопроєкт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>.</w:t>
      </w:r>
    </w:p>
    <w:p w:rsidR="00BF26AD" w:rsidRDefault="00DA07F7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lastRenderedPageBreak/>
        <w:t xml:space="preserve">4. Національний депозитарій України </w:t>
      </w:r>
      <w:r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 xml:space="preserve">підтримує </w:t>
      </w: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>законопроєкт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</w:t>
      </w:r>
    </w:p>
    <w:p w:rsidR="00BF26AD" w:rsidRDefault="00BF26AD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</w:p>
    <w:p w:rsidR="00BF26AD" w:rsidRDefault="00DA07F7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 xml:space="preserve">Позиції недержавних </w:t>
      </w:r>
      <w:proofErr w:type="spellStart"/>
      <w:r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стейкхолдерів</w:t>
      </w:r>
      <w:proofErr w:type="spellEnd"/>
    </w:p>
    <w:p w:rsidR="00BF26AD" w:rsidRDefault="00DA07F7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Експерти компаній-членів Американської торговельної палати в України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підтримують </w:t>
      </w:r>
      <w:r>
        <w:rPr>
          <w:rFonts w:ascii="Times New Roman" w:eastAsia="Times New Roman" w:hAnsi="Times New Roman" w:cs="Times New Roman"/>
          <w:sz w:val="24"/>
          <w:szCs w:val="24"/>
        </w:rPr>
        <w:t>законопроєкт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F26AD" w:rsidRDefault="00DA07F7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Нотаріальна палата України вважає, що проєкт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потребує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відхилення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або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ґрунтовного доопрацювання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26AD" w:rsidRDefault="00DA07F7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Експерти Європейської бізнес асоціації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підтримують </w:t>
      </w:r>
      <w:r>
        <w:rPr>
          <w:rFonts w:ascii="Times New Roman" w:eastAsia="Times New Roman" w:hAnsi="Times New Roman" w:cs="Times New Roman"/>
          <w:sz w:val="24"/>
          <w:szCs w:val="24"/>
        </w:rPr>
        <w:t>законопроєкт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26AD" w:rsidRDefault="00DA07F7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Український клуб аграрного бізнесу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підтримує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закнопроєкт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26AD" w:rsidRDefault="00DA07F7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Українська Аграрна Конфедерація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підтримує </w:t>
      </w:r>
      <w:r>
        <w:rPr>
          <w:rFonts w:ascii="Times New Roman" w:eastAsia="Times New Roman" w:hAnsi="Times New Roman" w:cs="Times New Roman"/>
          <w:sz w:val="24"/>
          <w:szCs w:val="24"/>
        </w:rPr>
        <w:t>законопроєкт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9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F26AD" w:rsidRDefault="00BF26AD">
      <w:pPr>
        <w:tabs>
          <w:tab w:val="left" w:pos="708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highlight w:val="white"/>
        </w:rPr>
      </w:pPr>
    </w:p>
    <w:sectPr w:rsidR="00BF26AD">
      <w:headerReference w:type="first" r:id="rId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F7" w:rsidRDefault="00DA07F7">
      <w:pPr>
        <w:spacing w:line="240" w:lineRule="auto"/>
      </w:pPr>
      <w:r>
        <w:separator/>
      </w:r>
    </w:p>
  </w:endnote>
  <w:endnote w:type="continuationSeparator" w:id="0">
    <w:p w:rsidR="00DA07F7" w:rsidRDefault="00DA07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F7" w:rsidRDefault="00DA07F7">
      <w:pPr>
        <w:spacing w:line="240" w:lineRule="auto"/>
      </w:pPr>
      <w:r>
        <w:separator/>
      </w:r>
    </w:p>
  </w:footnote>
  <w:footnote w:type="continuationSeparator" w:id="0">
    <w:p w:rsidR="00DA07F7" w:rsidRDefault="00DA07F7">
      <w:pPr>
        <w:spacing w:line="240" w:lineRule="auto"/>
      </w:pPr>
      <w:r>
        <w:continuationSeparator/>
      </w:r>
    </w:p>
  </w:footnote>
  <w:footnote w:id="1">
    <w:p w:rsidR="00BF26AD" w:rsidRDefault="00DA07F7">
      <w:pPr>
        <w:spacing w:line="240" w:lineRule="auto"/>
        <w:ind w:hanging="2"/>
        <w:jc w:val="both"/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Цей висновок підготовлений відповідно до Методології проведення антикорупційної експертизи законопроєктів аналітичним центром “Інститут законодавчих ідей”</w:t>
      </w:r>
    </w:p>
  </w:footnote>
  <w:footnote w:id="2">
    <w:p w:rsidR="00BF26AD" w:rsidRDefault="00DA07F7">
      <w:pPr>
        <w:spacing w:line="240" w:lineRule="auto"/>
        <w:ind w:hanging="2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">
        <w:r>
          <w:rPr>
            <w:color w:val="1155CC"/>
            <w:sz w:val="20"/>
            <w:szCs w:val="20"/>
            <w:u w:val="single"/>
          </w:rPr>
          <w:t>https://www.kmu.gov.ua/bills/proekt-</w:t>
        </w:r>
        <w:r>
          <w:rPr>
            <w:color w:val="1155CC"/>
            <w:sz w:val="20"/>
            <w:szCs w:val="20"/>
            <w:u w:val="single"/>
          </w:rPr>
          <w:t>zakonu-pro-vnesennya-zmin-do-zakonu-ukraini-pro-agrarni-rozpiski-ta-deyakikh-inshikh-zakonodavchikh-aktiv-ukraini-shchodo-funktsionuvannya-ta-obigu-agrarnikh-rozpisok</w:t>
        </w:r>
      </w:hyperlink>
      <w:r>
        <w:rPr>
          <w:sz w:val="20"/>
          <w:szCs w:val="20"/>
        </w:rPr>
        <w:t xml:space="preserve"> </w:t>
      </w:r>
    </w:p>
  </w:footnote>
  <w:footnote w:id="3">
    <w:p w:rsidR="00BF26AD" w:rsidRDefault="00DA07F7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2">
        <w:r>
          <w:rPr>
            <w:color w:val="1155CC"/>
            <w:sz w:val="20"/>
            <w:szCs w:val="20"/>
            <w:u w:val="single"/>
          </w:rPr>
          <w:t>https://www.nssmc.gov.ua/nktspfr-zaklykaie-verkhovnu-radu-ukrainy-pryiniaty-zakonoproiekt-2805-d-shchodo-funktsionuvannia-ta-obihu-ahrarnykh-rozpysok/</w:t>
        </w:r>
      </w:hyperlink>
      <w:r>
        <w:rPr>
          <w:sz w:val="20"/>
          <w:szCs w:val="20"/>
        </w:rPr>
        <w:t xml:space="preserve"> </w:t>
      </w:r>
    </w:p>
  </w:footnote>
  <w:footnote w:id="4">
    <w:p w:rsidR="00BF26AD" w:rsidRDefault="00DA07F7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3">
        <w:r>
          <w:rPr>
            <w:color w:val="1155CC"/>
            <w:sz w:val="20"/>
            <w:szCs w:val="20"/>
            <w:u w:val="single"/>
          </w:rPr>
          <w:t>https://www.csd.ua/index.php?option=com_content&amp;view=article&amp;id=11966%3A-2805-&amp;catid=51%3Ahot-news&amp;Itemid=18&amp;lang=ua</w:t>
        </w:r>
      </w:hyperlink>
      <w:r>
        <w:rPr>
          <w:sz w:val="20"/>
          <w:szCs w:val="20"/>
        </w:rPr>
        <w:t xml:space="preserve"> </w:t>
      </w:r>
    </w:p>
  </w:footnote>
  <w:footnote w:id="5">
    <w:p w:rsidR="00BF26AD" w:rsidRDefault="00DA07F7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4">
        <w:r>
          <w:rPr>
            <w:color w:val="1155CC"/>
            <w:sz w:val="20"/>
            <w:szCs w:val="20"/>
            <w:u w:val="single"/>
          </w:rPr>
          <w:t>https://chamber.ua/ua/news/ahrosektor-zaklykaie-parlament-ukhvalyty-zakonoproekt-2805-d-shchodo-moderniza</w:t>
        </w:r>
        <w:r>
          <w:rPr>
            <w:color w:val="1155CC"/>
            <w:sz w:val="20"/>
            <w:szCs w:val="20"/>
            <w:u w:val="single"/>
          </w:rPr>
          <w:t>tsii-ahrarnykh-rozpysok-u-pershomu-chytanni/</w:t>
        </w:r>
      </w:hyperlink>
      <w:r>
        <w:rPr>
          <w:sz w:val="20"/>
          <w:szCs w:val="20"/>
        </w:rPr>
        <w:t xml:space="preserve"> </w:t>
      </w:r>
    </w:p>
  </w:footnote>
  <w:footnote w:id="6">
    <w:p w:rsidR="00BF26AD" w:rsidRDefault="00DA07F7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5">
        <w:r>
          <w:rPr>
            <w:color w:val="1155CC"/>
            <w:sz w:val="20"/>
            <w:szCs w:val="20"/>
            <w:u w:val="single"/>
          </w:rPr>
          <w:t>https://npu.ua/news/agrarni-stop2805d/</w:t>
        </w:r>
      </w:hyperlink>
      <w:r>
        <w:rPr>
          <w:sz w:val="20"/>
          <w:szCs w:val="20"/>
        </w:rPr>
        <w:t xml:space="preserve"> </w:t>
      </w:r>
    </w:p>
  </w:footnote>
  <w:footnote w:id="7">
    <w:p w:rsidR="00BF26AD" w:rsidRDefault="00DA07F7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6">
        <w:r>
          <w:rPr>
            <w:color w:val="1155CC"/>
            <w:sz w:val="20"/>
            <w:szCs w:val="20"/>
            <w:u w:val="single"/>
          </w:rPr>
          <w:t>https://eba.com.ua/tsinnyj-aktyv-yak-proponuyut-vdoskonalyty-zastosuvannya-agrarnoyi-rozpysky/</w:t>
        </w:r>
      </w:hyperlink>
      <w:r>
        <w:rPr>
          <w:sz w:val="20"/>
          <w:szCs w:val="20"/>
        </w:rPr>
        <w:t xml:space="preserve"> </w:t>
      </w:r>
    </w:p>
  </w:footnote>
  <w:footnote w:id="8">
    <w:p w:rsidR="00BF26AD" w:rsidRDefault="00DA07F7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7">
        <w:r>
          <w:rPr>
            <w:color w:val="1155CC"/>
            <w:sz w:val="20"/>
            <w:szCs w:val="20"/>
            <w:u w:val="single"/>
          </w:rPr>
          <w:t>https://ucab.ua/ua/pres_sluzhba/novosti/ukab_pidtrimue_vdoskonalennya_zakonodavstva_pro_agrarni_rozpiski</w:t>
        </w:r>
      </w:hyperlink>
      <w:r>
        <w:rPr>
          <w:sz w:val="20"/>
          <w:szCs w:val="20"/>
        </w:rPr>
        <w:t xml:space="preserve"> </w:t>
      </w:r>
    </w:p>
  </w:footnote>
  <w:footnote w:id="9">
    <w:p w:rsidR="00BF26AD" w:rsidRDefault="00DA07F7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8">
        <w:r>
          <w:rPr>
            <w:color w:val="1155CC"/>
            <w:sz w:val="20"/>
            <w:szCs w:val="20"/>
            <w:u w:val="single"/>
          </w:rPr>
          <w:t>http://agroconf.org/content/agrovirobniki-chekayut-na-novi-mozhlivosti-finansuvannya-za-agrarnimi-rozpiskami-iz</w:t>
        </w:r>
      </w:hyperlink>
      <w:r>
        <w:rPr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6AD" w:rsidRDefault="00BF26AD">
    <w:pPr>
      <w:widowControl w:val="0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f8"/>
      <w:tblW w:w="9719" w:type="dxa"/>
      <w:jc w:val="center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400" w:firstRow="0" w:lastRow="0" w:firstColumn="0" w:lastColumn="0" w:noHBand="0" w:noVBand="1"/>
    </w:tblPr>
    <w:tblGrid>
      <w:gridCol w:w="2977"/>
      <w:gridCol w:w="3623"/>
      <w:gridCol w:w="3119"/>
    </w:tblGrid>
    <w:tr w:rsidR="00BF26AD">
      <w:trPr>
        <w:trHeight w:val="2196"/>
        <w:jc w:val="center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:rsidR="00BF26AD" w:rsidRDefault="00DA07F7">
          <w:pPr>
            <w:spacing w:before="120"/>
            <w:rPr>
              <w:rFonts w:ascii="Cambria" w:eastAsia="Cambria" w:hAnsi="Cambria" w:cs="Cambria"/>
              <w:b/>
              <w:color w:val="333399"/>
            </w:rPr>
          </w:pPr>
          <w:r>
            <w:rPr>
              <w:rFonts w:ascii="Cambria" w:eastAsia="Cambria" w:hAnsi="Cambria" w:cs="Cambria"/>
              <w:b/>
              <w:color w:val="333399"/>
            </w:rPr>
            <w:t xml:space="preserve">               </w:t>
          </w:r>
        </w:p>
        <w:p w:rsidR="00BF26AD" w:rsidRDefault="00DA07F7">
          <w:pPr>
            <w:spacing w:before="120"/>
            <w:jc w:val="center"/>
            <w:rPr>
              <w:rFonts w:ascii="Times New Roman" w:eastAsia="Times New Roman" w:hAnsi="Times New Roman" w:cs="Times New Roman"/>
              <w:color w:val="02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20000"/>
              <w:sz w:val="24"/>
              <w:szCs w:val="24"/>
            </w:rPr>
            <w:t>Аналітичний центр «Інститут законодавчих ідей»</w:t>
          </w:r>
        </w:p>
        <w:p w:rsidR="00BF26AD" w:rsidRDefault="00DA07F7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office@izi.institute</w:t>
          </w:r>
          <w:proofErr w:type="spellEnd"/>
        </w:p>
        <w:p w:rsidR="00BF26AD" w:rsidRDefault="00DA07F7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BF26AD" w:rsidRDefault="00DA07F7">
          <w:pPr>
            <w:jc w:val="center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:rsidR="00BF26AD" w:rsidRDefault="00DA07F7">
          <w:pPr>
            <w:ind w:left="-367"/>
            <w:jc w:val="center"/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2717775" cy="1723104"/>
                <wp:effectExtent l="0" t="0" r="0" b="0"/>
                <wp:docPr id="2" name="image1.png" descr="https://lh4.googleusercontent.com/nHCGlOQUBpGGAuU0DR6FkV93l3lZype4aJ8lutZUfixscQK4kpgo4sjsfJRnGCSz74YN14VuwED1DKM8J0kbj2PmK6rQbU-_ofQlJRM08iQMINiHIN7W2RI3pZhzQeR8irWCLJ-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4.googleusercontent.com/nHCGlOQUBpGGAuU0DR6FkV93l3lZype4aJ8lutZUfixscQK4kpgo4sjsfJRnGCSz74YN14VuwED1DKM8J0kbj2PmK6rQbU-_ofQlJRM08iQMINiHIN7W2RI3pZhzQeR8irWCLJ-t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7775" cy="172310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:rsidR="00BF26AD" w:rsidRDefault="00BF26AD">
          <w:pPr>
            <w:spacing w:before="120"/>
            <w:rPr>
              <w:rFonts w:ascii="Cambria" w:eastAsia="Cambria" w:hAnsi="Cambria" w:cs="Cambria"/>
              <w:b/>
              <w:color w:val="FF0000"/>
            </w:rPr>
          </w:pPr>
        </w:p>
        <w:p w:rsidR="00BF26AD" w:rsidRDefault="00DA07F7">
          <w:pPr>
            <w:spacing w:before="120"/>
            <w:jc w:val="center"/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  <w:t>Think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  <w:t>tank</w:t>
          </w:r>
          <w:proofErr w:type="spellEnd"/>
        </w:p>
        <w:p w:rsidR="00BF26AD" w:rsidRDefault="00DA07F7">
          <w:pPr>
            <w:jc w:val="center"/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  <w:t>«</w:t>
          </w:r>
          <w:proofErr w:type="spellStart"/>
          <w:r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  <w:t>Institute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  <w:t>of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  <w:t>legislative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  <w:t>ideas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060606"/>
              <w:sz w:val="24"/>
              <w:szCs w:val="24"/>
            </w:rPr>
            <w:t>»</w:t>
          </w:r>
        </w:p>
        <w:p w:rsidR="00BF26AD" w:rsidRDefault="00DA07F7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BF26AD" w:rsidRDefault="00DA07F7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BF26AD" w:rsidRDefault="00DA07F7">
          <w:pPr>
            <w:jc w:val="center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BF26AD" w:rsidRDefault="00BF26A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AD"/>
    <w:rsid w:val="003322D6"/>
    <w:rsid w:val="00957016"/>
    <w:rsid w:val="00BF26AD"/>
    <w:rsid w:val="00DA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B2CDA-5DF9-4AAE-B1D2-95CD7FFC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C4F"/>
    <w:rPr>
      <w:color w:val="000000"/>
      <w:lang w:eastAsia="uk-U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4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E92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Заголовок 3 Знак"/>
    <w:link w:val="3"/>
    <w:uiPriority w:val="9"/>
    <w:rsid w:val="00E92C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yleProp">
    <w:name w:val="StyleProp"/>
    <w:basedOn w:val="a"/>
    <w:link w:val="StyleProp0"/>
    <w:uiPriority w:val="99"/>
    <w:rsid w:val="00E92C4F"/>
    <w:pPr>
      <w:spacing w:line="200" w:lineRule="exact"/>
      <w:ind w:firstLine="227"/>
      <w:jc w:val="both"/>
    </w:pPr>
    <w:rPr>
      <w:rFonts w:ascii="Times New Roman" w:eastAsia="Times New Roman" w:hAnsi="Times New Roman" w:cs="Times New Roman"/>
      <w:color w:val="auto"/>
      <w:sz w:val="18"/>
      <w:lang w:eastAsia="ru-RU"/>
    </w:rPr>
  </w:style>
  <w:style w:type="table" w:styleId="a4">
    <w:name w:val="Table Grid"/>
    <w:basedOn w:val="a1"/>
    <w:uiPriority w:val="39"/>
    <w:rsid w:val="00A03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5A4ECF"/>
  </w:style>
  <w:style w:type="character" w:customStyle="1" w:styleId="apple-converted-space">
    <w:name w:val="apple-converted-space"/>
    <w:basedOn w:val="a0"/>
    <w:rsid w:val="005A4ECF"/>
  </w:style>
  <w:style w:type="paragraph" w:customStyle="1" w:styleId="StyleZakonu">
    <w:name w:val="StyleZakonu"/>
    <w:basedOn w:val="a"/>
    <w:link w:val="StyleZakonu0"/>
    <w:uiPriority w:val="99"/>
    <w:rsid w:val="005A4ECF"/>
    <w:pPr>
      <w:spacing w:after="60" w:line="220" w:lineRule="exact"/>
      <w:ind w:firstLine="284"/>
      <w:jc w:val="both"/>
    </w:pPr>
    <w:rPr>
      <w:rFonts w:ascii="Times New Roman" w:eastAsia="Times New Roman" w:hAnsi="Times New Roman" w:cs="Times New Roman"/>
      <w:color w:val="auto"/>
      <w:sz w:val="20"/>
      <w:lang w:eastAsia="ru-RU"/>
    </w:rPr>
  </w:style>
  <w:style w:type="character" w:customStyle="1" w:styleId="StyleZakonu0">
    <w:name w:val="StyleZakonu Знак"/>
    <w:link w:val="StyleZakonu"/>
    <w:uiPriority w:val="99"/>
    <w:locked/>
    <w:rsid w:val="005A4ECF"/>
    <w:rPr>
      <w:rFonts w:ascii="Times New Roman" w:eastAsia="Times New Roman" w:hAnsi="Times New Roman"/>
      <w:lang w:eastAsia="ru-RU"/>
    </w:rPr>
  </w:style>
  <w:style w:type="character" w:styleId="a5">
    <w:name w:val="Hyperlink"/>
    <w:uiPriority w:val="99"/>
    <w:unhideWhenUsed/>
    <w:rsid w:val="00C91483"/>
    <w:rPr>
      <w:color w:val="0000FF"/>
      <w:u w:val="single"/>
    </w:rPr>
  </w:style>
  <w:style w:type="paragraph" w:customStyle="1" w:styleId="rvps2">
    <w:name w:val="rvps2"/>
    <w:basedOn w:val="a"/>
    <w:rsid w:val="00C91483"/>
    <w:pPr>
      <w:spacing w:before="100" w:after="100" w:line="240" w:lineRule="auto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styleId="a6">
    <w:name w:val="Body Text"/>
    <w:basedOn w:val="a"/>
    <w:link w:val="a7"/>
    <w:uiPriority w:val="99"/>
    <w:rsid w:val="00E65F55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link w:val="a6"/>
    <w:uiPriority w:val="99"/>
    <w:rsid w:val="00E65F55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8">
    <w:name w:val="Normal (Web)"/>
    <w:basedOn w:val="a"/>
    <w:uiPriority w:val="99"/>
    <w:unhideWhenUsed/>
    <w:rsid w:val="00337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337424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paragraph" w:customStyle="1" w:styleId="10">
    <w:name w:val="Кольоровий список — акцент 1"/>
    <w:basedOn w:val="a"/>
    <w:rsid w:val="00AC157C"/>
    <w:pPr>
      <w:spacing w:line="240" w:lineRule="auto"/>
      <w:ind w:left="720"/>
    </w:pPr>
    <w:rPr>
      <w:rFonts w:ascii="Times New Roman" w:eastAsia="Calibri" w:hAnsi="Times New Roman" w:cs="Times New Roman"/>
      <w:color w:val="auto"/>
      <w:sz w:val="24"/>
      <w:szCs w:val="24"/>
      <w:lang w:val="ru-RU" w:eastAsia="ru-RU"/>
    </w:rPr>
  </w:style>
  <w:style w:type="paragraph" w:customStyle="1" w:styleId="a9">
    <w:name w:val="Нормальний текст"/>
    <w:basedOn w:val="a"/>
    <w:rsid w:val="0095548A"/>
    <w:pPr>
      <w:spacing w:before="120" w:line="240" w:lineRule="auto"/>
      <w:ind w:firstLine="567"/>
      <w:jc w:val="both"/>
    </w:pPr>
    <w:rPr>
      <w:rFonts w:ascii="Antiqua" w:eastAsia="Times New Roman" w:hAnsi="Antiqua" w:cs="Times New Roman"/>
      <w:color w:val="auto"/>
      <w:sz w:val="26"/>
      <w:lang w:eastAsia="ru-RU"/>
    </w:rPr>
  </w:style>
  <w:style w:type="paragraph" w:customStyle="1" w:styleId="ParagraphStyle">
    <w:name w:val="Paragraph Style"/>
    <w:uiPriority w:val="99"/>
    <w:rsid w:val="007D43C2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StyleProp0">
    <w:name w:val="StyleProp Знак"/>
    <w:link w:val="StyleProp"/>
    <w:uiPriority w:val="99"/>
    <w:locked/>
    <w:rsid w:val="00827137"/>
    <w:rPr>
      <w:rFonts w:ascii="Times New Roman" w:eastAsia="Times New Roman" w:hAnsi="Times New Roman"/>
      <w:sz w:val="18"/>
      <w:lang w:eastAsia="ru-RU"/>
    </w:rPr>
  </w:style>
  <w:style w:type="character" w:customStyle="1" w:styleId="st42">
    <w:name w:val="st42"/>
    <w:rsid w:val="00032CCC"/>
    <w:rPr>
      <w:rFonts w:ascii="Times New Roman" w:hAnsi="Times New Roman"/>
      <w:color w:val="000000"/>
    </w:rPr>
  </w:style>
  <w:style w:type="character" w:customStyle="1" w:styleId="rvts9">
    <w:name w:val="rvts9"/>
    <w:uiPriority w:val="99"/>
    <w:rsid w:val="00951AC8"/>
  </w:style>
  <w:style w:type="paragraph" w:styleId="HTML">
    <w:name w:val="HTML Preformatted"/>
    <w:basedOn w:val="a"/>
    <w:link w:val="HTML0"/>
    <w:uiPriority w:val="99"/>
    <w:rsid w:val="00951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</w:rPr>
  </w:style>
  <w:style w:type="character" w:customStyle="1" w:styleId="HTML0">
    <w:name w:val="Стандартный HTML Знак"/>
    <w:link w:val="HTML"/>
    <w:uiPriority w:val="99"/>
    <w:rsid w:val="00951AC8"/>
    <w:rPr>
      <w:rFonts w:ascii="Courier New" w:eastAsia="Times New Roman" w:hAnsi="Courier New" w:cs="Courier New"/>
    </w:rPr>
  </w:style>
  <w:style w:type="character" w:customStyle="1" w:styleId="21">
    <w:name w:val="Заголовок №2_"/>
    <w:link w:val="22"/>
    <w:locked/>
    <w:rsid w:val="00136B7C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136B7C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eastAsia="Calibri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45328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53289"/>
    <w:rPr>
      <w:rFonts w:ascii="Arial" w:eastAsia="Arial" w:hAnsi="Arial" w:cs="Arial"/>
      <w:color w:val="000000"/>
      <w:sz w:val="22"/>
    </w:rPr>
  </w:style>
  <w:style w:type="character" w:customStyle="1" w:styleId="FontStyle">
    <w:name w:val="Font Style"/>
    <w:rsid w:val="00403344"/>
    <w:rPr>
      <w:rFonts w:cs="Courier New"/>
      <w:color w:val="000000"/>
      <w:sz w:val="20"/>
      <w:szCs w:val="20"/>
    </w:rPr>
  </w:style>
  <w:style w:type="paragraph" w:styleId="aa">
    <w:name w:val="List Paragraph"/>
    <w:basedOn w:val="a"/>
    <w:uiPriority w:val="34"/>
    <w:qFormat/>
    <w:rsid w:val="006C2161"/>
    <w:pPr>
      <w:ind w:left="708"/>
    </w:pPr>
  </w:style>
  <w:style w:type="paragraph" w:customStyle="1" w:styleId="StyleProp2">
    <w:name w:val="StyleProp2"/>
    <w:basedOn w:val="a"/>
    <w:uiPriority w:val="99"/>
    <w:rsid w:val="0046297F"/>
    <w:pPr>
      <w:spacing w:after="120" w:line="200" w:lineRule="exact"/>
      <w:ind w:firstLine="227"/>
      <w:jc w:val="both"/>
    </w:pPr>
    <w:rPr>
      <w:rFonts w:ascii="Times New Roman" w:eastAsia="Times New Roman" w:hAnsi="Times New Roman" w:cs="Times New Roman"/>
      <w:color w:val="auto"/>
      <w:sz w:val="1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42A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2AAE"/>
    <w:rPr>
      <w:rFonts w:ascii="Tahoma" w:eastAsia="Arial" w:hAnsi="Tahoma" w:cs="Tahoma"/>
      <w:color w:val="000000"/>
      <w:sz w:val="16"/>
      <w:szCs w:val="16"/>
      <w:lang w:val="uk-UA" w:eastAsia="uk-UA"/>
    </w:rPr>
  </w:style>
  <w:style w:type="paragraph" w:styleId="ad">
    <w:name w:val="header"/>
    <w:basedOn w:val="a"/>
    <w:link w:val="ae"/>
    <w:uiPriority w:val="99"/>
    <w:unhideWhenUsed/>
    <w:rsid w:val="00D41345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41345"/>
    <w:rPr>
      <w:rFonts w:ascii="Arial" w:eastAsia="Arial" w:hAnsi="Arial" w:cs="Arial"/>
      <w:color w:val="000000"/>
      <w:sz w:val="22"/>
      <w:lang w:val="uk-UA" w:eastAsia="uk-UA"/>
    </w:rPr>
  </w:style>
  <w:style w:type="paragraph" w:styleId="af">
    <w:name w:val="footer"/>
    <w:basedOn w:val="a"/>
    <w:link w:val="af0"/>
    <w:uiPriority w:val="99"/>
    <w:unhideWhenUsed/>
    <w:rsid w:val="00D41345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41345"/>
    <w:rPr>
      <w:rFonts w:ascii="Arial" w:eastAsia="Arial" w:hAnsi="Arial" w:cs="Arial"/>
      <w:color w:val="000000"/>
      <w:sz w:val="22"/>
      <w:lang w:val="uk-UA" w:eastAsia="uk-UA"/>
    </w:rPr>
  </w:style>
  <w:style w:type="paragraph" w:styleId="af1">
    <w:name w:val="footnote text"/>
    <w:basedOn w:val="a"/>
    <w:link w:val="af2"/>
    <w:uiPriority w:val="99"/>
    <w:semiHidden/>
    <w:unhideWhenUsed/>
    <w:rsid w:val="006C00B6"/>
    <w:pPr>
      <w:spacing w:line="240" w:lineRule="auto"/>
    </w:pPr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6C00B6"/>
    <w:rPr>
      <w:rFonts w:ascii="Arial" w:eastAsia="Arial" w:hAnsi="Arial" w:cs="Arial"/>
      <w:color w:val="000000"/>
      <w:lang w:val="uk-UA" w:eastAsia="uk-UA"/>
    </w:rPr>
  </w:style>
  <w:style w:type="character" w:styleId="af3">
    <w:name w:val="footnote reference"/>
    <w:basedOn w:val="a0"/>
    <w:uiPriority w:val="99"/>
    <w:semiHidden/>
    <w:unhideWhenUsed/>
    <w:rsid w:val="006C00B6"/>
    <w:rPr>
      <w:vertAlign w:val="superscript"/>
    </w:rPr>
  </w:style>
  <w:style w:type="paragraph" w:customStyle="1" w:styleId="Standard">
    <w:name w:val="Standard"/>
    <w:rsid w:val="006564E6"/>
    <w:pPr>
      <w:suppressAutoHyphens/>
      <w:autoSpaceDN w:val="0"/>
      <w:textAlignment w:val="baseline"/>
    </w:pPr>
    <w:rPr>
      <w:color w:val="000000"/>
      <w:kern w:val="3"/>
      <w:lang w:eastAsia="uk-UA"/>
    </w:rPr>
  </w:style>
  <w:style w:type="paragraph" w:customStyle="1" w:styleId="Textbody">
    <w:name w:val="Text body"/>
    <w:basedOn w:val="Standard"/>
    <w:rsid w:val="006564E6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1">
    <w:name w:val="Без интервала1"/>
    <w:uiPriority w:val="99"/>
    <w:rsid w:val="006564E6"/>
    <w:rPr>
      <w:rFonts w:ascii="Cambria" w:hAnsi="Cambria"/>
      <w:sz w:val="24"/>
      <w:szCs w:val="24"/>
      <w:lang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rsid w:val="00797D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 w:val="0"/>
      <w:autoSpaceDN w:val="0"/>
      <w:adjustRightInd w:val="0"/>
      <w:spacing w:line="240" w:lineRule="auto"/>
    </w:pPr>
    <w:rPr>
      <w:rFonts w:ascii="Courier New" w:eastAsia="Times New Roman" w:hAnsi="Liberation Serif" w:cs="Courier New"/>
      <w:kern w:val="1"/>
      <w:sz w:val="24"/>
      <w:szCs w:val="24"/>
      <w:lang w:val="ru-RU" w:eastAsia="ru-RU"/>
    </w:rPr>
  </w:style>
  <w:style w:type="character" w:customStyle="1" w:styleId="25">
    <w:name w:val="Основний текст (2)_"/>
    <w:link w:val="26"/>
    <w:locked/>
    <w:rsid w:val="00473425"/>
    <w:rPr>
      <w:spacing w:val="-10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473425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eastAsia="Calibri" w:hAnsi="Calibri" w:cs="Times New Roman"/>
      <w:color w:val="auto"/>
      <w:spacing w:val="-10"/>
      <w:sz w:val="20"/>
      <w:lang w:val="ru-RU" w:eastAsia="ru-RU"/>
    </w:rPr>
  </w:style>
  <w:style w:type="paragraph" w:styleId="af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pPr>
      <w:ind w:hanging="1"/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agroconf.org/content/agrovirobniki-chekayut-na-novi-mozhlivosti-finansuvannya-za-agrarnimi-rozpiskami-iz" TargetMode="External"/><Relationship Id="rId3" Type="http://schemas.openxmlformats.org/officeDocument/2006/relationships/hyperlink" Target="https://www.csd.ua/index.php?option=com_content&amp;view=article&amp;id=11966%3A-2805-&amp;catid=51%3Ahot-news&amp;Itemid=18&amp;lang=ua" TargetMode="External"/><Relationship Id="rId7" Type="http://schemas.openxmlformats.org/officeDocument/2006/relationships/hyperlink" Target="https://ucab.ua/ua/pres_sluzhba/novosti/ukab_pidtrimue_vdoskonalennya_zakonodavstva_pro_agrarni_rozpiski" TargetMode="External"/><Relationship Id="rId2" Type="http://schemas.openxmlformats.org/officeDocument/2006/relationships/hyperlink" Target="https://www.nssmc.gov.ua/nktspfr-zaklykaie-verkhovnu-radu-ukrainy-pryiniaty-zakonoproiekt-2805-d-shchodo-funktsionuvannia-ta-obihu-ahrarnykh-rozpysok/" TargetMode="External"/><Relationship Id="rId1" Type="http://schemas.openxmlformats.org/officeDocument/2006/relationships/hyperlink" Target="https://www.kmu.gov.ua/bills/proekt-zakonu-pro-vnesennya-zmin-do-zakonu-ukraini-pro-agrarni-rozpiski-ta-deyakikh-inshikh-zakonodavchikh-aktiv-ukraini-shchodo-funktsionuvannya-ta-obigu-agrarnikh-rozpisok" TargetMode="External"/><Relationship Id="rId6" Type="http://schemas.openxmlformats.org/officeDocument/2006/relationships/hyperlink" Target="https://eba.com.ua/tsinnyj-aktyv-yak-proponuyut-vdoskonalyty-zastosuvannya-agrarnoyi-rozpysky/" TargetMode="External"/><Relationship Id="rId5" Type="http://schemas.openxmlformats.org/officeDocument/2006/relationships/hyperlink" Target="https://npu.ua/news/agrarni-stop2805d/" TargetMode="External"/><Relationship Id="rId4" Type="http://schemas.openxmlformats.org/officeDocument/2006/relationships/hyperlink" Target="https://chamber.ua/ua/news/ahrosektor-zaklykaie-parlament-ukhvalyty-zakonoproekt-2805-d-shchodo-modernizatsii-ahrarnykh-rozpysok-u-pershomu-chytann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cNRTVjx5vJF9om99I1jfgnIcwg==">AMUW2mV8RpEITrMex+7PtEjIZ/8h+Hv+AX4bsonXhvWYftPDHKnRzHVE+g+UldtVedcpFmAU6tqOWzvGbNPeolRWyL9FV/f9tFa0EKCFWug1H3rNHDGg+VXOQpCNEdFzazvh81UR7N2kvM9UlIfrN3CNEP2oIVx6pA==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1111</Words>
  <Characters>6335</Characters>
  <Application>Microsoft Office Word</Application>
  <DocSecurity>0</DocSecurity>
  <Lines>52</Lines>
  <Paragraphs>14</Paragraphs>
  <ScaleCrop>false</ScaleCrop>
  <Company/>
  <LinksUpToDate>false</LinksUpToDate>
  <CharactersWithSpaces>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</dc:creator>
  <cp:lastModifiedBy>Тарас</cp:lastModifiedBy>
  <cp:revision>3</cp:revision>
  <dcterms:created xsi:type="dcterms:W3CDTF">2020-12-04T11:41:00Z</dcterms:created>
  <dcterms:modified xsi:type="dcterms:W3CDTF">2022-02-10T10:47:00Z</dcterms:modified>
</cp:coreProperties>
</file>