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9DF" w:rsidRDefault="00E519DF">
      <w:pPr>
        <w:widowControl w:val="0"/>
        <w:pBdr>
          <w:top w:val="nil"/>
          <w:left w:val="nil"/>
          <w:bottom w:val="nil"/>
          <w:right w:val="nil"/>
          <w:between w:val="nil"/>
        </w:pBdr>
      </w:pPr>
    </w:p>
    <w:tbl>
      <w:tblPr>
        <w:tblStyle w:val="afa"/>
        <w:tblW w:w="8897" w:type="dxa"/>
        <w:tblInd w:w="0" w:type="dxa"/>
        <w:tblLayout w:type="fixed"/>
        <w:tblLook w:val="0400" w:firstRow="0" w:lastRow="0" w:firstColumn="0" w:lastColumn="0" w:noHBand="0" w:noVBand="1"/>
      </w:tblPr>
      <w:tblGrid>
        <w:gridCol w:w="260"/>
        <w:gridCol w:w="8637"/>
      </w:tblGrid>
      <w:tr w:rsidR="00E519DF">
        <w:trPr>
          <w:trHeight w:val="294"/>
        </w:trPr>
        <w:tc>
          <w:tcPr>
            <w:tcW w:w="260" w:type="dxa"/>
            <w:tcMar>
              <w:top w:w="100" w:type="dxa"/>
              <w:left w:w="100" w:type="dxa"/>
              <w:bottom w:w="100" w:type="dxa"/>
              <w:right w:w="100" w:type="dxa"/>
            </w:tcMar>
          </w:tcPr>
          <w:p w:rsidR="00E519DF" w:rsidRDefault="00D84268">
            <w:pPr>
              <w:pBdr>
                <w:top w:val="nil"/>
                <w:left w:val="nil"/>
                <w:bottom w:val="nil"/>
                <w:right w:val="nil"/>
                <w:between w:val="nil"/>
              </w:pBdr>
              <w:spacing w:line="240" w:lineRule="auto"/>
              <w:jc w:val="right"/>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br/>
              <w:t> </w:t>
            </w:r>
          </w:p>
        </w:tc>
        <w:tc>
          <w:tcPr>
            <w:tcW w:w="8637" w:type="dxa"/>
            <w:tcMar>
              <w:top w:w="100" w:type="dxa"/>
              <w:left w:w="100" w:type="dxa"/>
              <w:bottom w:w="100" w:type="dxa"/>
              <w:right w:w="100" w:type="dxa"/>
            </w:tcMar>
          </w:tcPr>
          <w:p w:rsidR="00E519DF" w:rsidRDefault="00B93EDF">
            <w:pPr>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56"/>
                <w:szCs w:val="56"/>
              </w:rPr>
              <w:t>5125</w:t>
            </w:r>
            <w:r w:rsidR="00D84268">
              <w:rPr>
                <w:rFonts w:ascii="Times New Roman" w:eastAsia="Times New Roman" w:hAnsi="Times New Roman" w:cs="Times New Roman"/>
                <w:b/>
                <w:sz w:val="56"/>
                <w:szCs w:val="56"/>
              </w:rPr>
              <w:t>дч</w:t>
            </w:r>
          </w:p>
        </w:tc>
      </w:tr>
    </w:tbl>
    <w:p w:rsidR="00E519DF" w:rsidRDefault="00D842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ВИСНОВОК</w:t>
      </w:r>
    </w:p>
    <w:p w:rsidR="00E519DF" w:rsidRDefault="00D8426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результатами проведення</w:t>
      </w:r>
    </w:p>
    <w:p w:rsidR="00E519DF" w:rsidRDefault="00D8426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антикорупційної експертизи законопроєкту до другого читання</w:t>
      </w:r>
      <w:r>
        <w:rPr>
          <w:rFonts w:ascii="Times New Roman" w:eastAsia="Times New Roman" w:hAnsi="Times New Roman" w:cs="Times New Roman"/>
          <w:sz w:val="24"/>
          <w:szCs w:val="24"/>
          <w:vertAlign w:val="superscript"/>
        </w:rPr>
        <w:footnoteReference w:id="1"/>
      </w:r>
    </w:p>
    <w:tbl>
      <w:tblPr>
        <w:tblW w:w="9576" w:type="dxa"/>
        <w:tblInd w:w="-10" w:type="dxa"/>
        <w:tblLayout w:type="fixed"/>
        <w:tblLook w:val="0400" w:firstRow="0" w:lastRow="0" w:firstColumn="0" w:lastColumn="0" w:noHBand="0" w:noVBand="1"/>
      </w:tblPr>
      <w:tblGrid>
        <w:gridCol w:w="2552"/>
        <w:gridCol w:w="7024"/>
      </w:tblGrid>
      <w:tr w:rsidR="00B93EDF" w:rsidRPr="00B93EDF" w:rsidTr="00641457">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b/>
                <w:sz w:val="24"/>
                <w:szCs w:val="24"/>
                <w:lang w:eastAsia="ru-RU"/>
              </w:rPr>
              <w:t>Назва акту</w:t>
            </w:r>
          </w:p>
        </w:tc>
        <w:tc>
          <w:tcPr>
            <w:tcW w:w="7024"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sz w:val="24"/>
                <w:szCs w:val="24"/>
                <w:lang w:eastAsia="ru-RU"/>
              </w:rPr>
              <w:t>Проєкт Закону «Про кредитні спілки»</w:t>
            </w:r>
          </w:p>
        </w:tc>
      </w:tr>
      <w:tr w:rsidR="00B93EDF" w:rsidRPr="00B93EDF" w:rsidTr="00641457">
        <w:tc>
          <w:tcPr>
            <w:tcW w:w="2552"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sz w:val="24"/>
                <w:szCs w:val="24"/>
                <w:lang w:eastAsia="ru-RU"/>
              </w:rPr>
            </w:pPr>
            <w:bookmarkStart w:id="1" w:name="bookmark=id.gjdgxs" w:colFirst="0" w:colLast="0"/>
            <w:bookmarkEnd w:id="1"/>
            <w:r w:rsidRPr="00B93EDF">
              <w:rPr>
                <w:rFonts w:ascii="Times New Roman" w:eastAsia="Times New Roman" w:hAnsi="Times New Roman" w:cs="Times New Roman"/>
                <w:b/>
                <w:sz w:val="24"/>
                <w:szCs w:val="24"/>
                <w:lang w:eastAsia="ru-RU"/>
              </w:rPr>
              <w:t>Дата реєстрації</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01.06</w:t>
            </w:r>
            <w:r w:rsidRPr="00B93EDF">
              <w:rPr>
                <w:rFonts w:ascii="Times New Roman" w:eastAsia="Times New Roman" w:hAnsi="Times New Roman" w:cs="Times New Roman"/>
                <w:sz w:val="24"/>
                <w:szCs w:val="24"/>
                <w:lang w:eastAsia="ru-RU"/>
              </w:rPr>
              <w:t xml:space="preserve">.2021   </w:t>
            </w:r>
          </w:p>
        </w:tc>
      </w:tr>
      <w:tr w:rsidR="00B93EDF" w:rsidRPr="00B93EDF" w:rsidTr="00641457">
        <w:trPr>
          <w:trHeight w:val="761"/>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b/>
                <w:sz w:val="24"/>
                <w:szCs w:val="24"/>
                <w:lang w:eastAsia="ru-RU"/>
              </w:rPr>
            </w:pPr>
            <w:r w:rsidRPr="00B93EDF">
              <w:rPr>
                <w:rFonts w:ascii="Times New Roman" w:eastAsia="Times New Roman" w:hAnsi="Times New Roman" w:cs="Times New Roman"/>
                <w:b/>
                <w:sz w:val="24"/>
                <w:szCs w:val="24"/>
                <w:lang w:eastAsia="ru-RU"/>
              </w:rPr>
              <w:t>Суб’єкт права законодавчої ініціативи</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Народні депутати України</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proofErr w:type="spellStart"/>
            <w:r w:rsidRPr="00B93EDF">
              <w:rPr>
                <w:rFonts w:ascii="Times New Roman" w:eastAsia="Times New Roman" w:hAnsi="Times New Roman" w:cs="Times New Roman"/>
                <w:sz w:val="24"/>
                <w:szCs w:val="24"/>
                <w:lang w:eastAsia="ru-RU"/>
              </w:rPr>
              <w:t>Гет</w:t>
            </w:r>
            <w:r>
              <w:rPr>
                <w:rFonts w:ascii="Times New Roman" w:eastAsia="Times New Roman" w:hAnsi="Times New Roman" w:cs="Times New Roman"/>
                <w:sz w:val="24"/>
                <w:szCs w:val="24"/>
                <w:lang w:eastAsia="ru-RU"/>
              </w:rPr>
              <w:t>манцев</w:t>
            </w:r>
            <w:proofErr w:type="spellEnd"/>
            <w:r>
              <w:rPr>
                <w:rFonts w:ascii="Times New Roman" w:eastAsia="Times New Roman" w:hAnsi="Times New Roman" w:cs="Times New Roman"/>
                <w:sz w:val="24"/>
                <w:szCs w:val="24"/>
                <w:lang w:eastAsia="ru-RU"/>
              </w:rPr>
              <w:t xml:space="preserve"> Данило Олександрович</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Рєпіна Елла Анатоліївна</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proofErr w:type="spellStart"/>
            <w:r w:rsidRPr="00B93EDF">
              <w:rPr>
                <w:rFonts w:ascii="Times New Roman" w:eastAsia="Times New Roman" w:hAnsi="Times New Roman" w:cs="Times New Roman"/>
                <w:sz w:val="24"/>
                <w:szCs w:val="24"/>
                <w:lang w:eastAsia="ru-RU"/>
              </w:rPr>
              <w:t>Кінзбур</w:t>
            </w:r>
            <w:r>
              <w:rPr>
                <w:rFonts w:ascii="Times New Roman" w:eastAsia="Times New Roman" w:hAnsi="Times New Roman" w:cs="Times New Roman"/>
                <w:sz w:val="24"/>
                <w:szCs w:val="24"/>
                <w:lang w:eastAsia="ru-RU"/>
              </w:rPr>
              <w:t>ська</w:t>
            </w:r>
            <w:proofErr w:type="spellEnd"/>
            <w:r>
              <w:rPr>
                <w:rFonts w:ascii="Times New Roman" w:eastAsia="Times New Roman" w:hAnsi="Times New Roman" w:cs="Times New Roman"/>
                <w:sz w:val="24"/>
                <w:szCs w:val="24"/>
                <w:lang w:eastAsia="ru-RU"/>
              </w:rPr>
              <w:t xml:space="preserve"> Вікторія Олександрівна</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proofErr w:type="spellStart"/>
            <w:r w:rsidRPr="00B93EDF">
              <w:rPr>
                <w:rFonts w:ascii="Times New Roman" w:eastAsia="Times New Roman" w:hAnsi="Times New Roman" w:cs="Times New Roman"/>
                <w:sz w:val="24"/>
                <w:szCs w:val="24"/>
                <w:lang w:eastAsia="ru-RU"/>
              </w:rPr>
              <w:t>Мот</w:t>
            </w:r>
            <w:r>
              <w:rPr>
                <w:rFonts w:ascii="Times New Roman" w:eastAsia="Times New Roman" w:hAnsi="Times New Roman" w:cs="Times New Roman"/>
                <w:sz w:val="24"/>
                <w:szCs w:val="24"/>
                <w:lang w:eastAsia="ru-RU"/>
              </w:rPr>
              <w:t>овиловець</w:t>
            </w:r>
            <w:proofErr w:type="spellEnd"/>
            <w:r>
              <w:rPr>
                <w:rFonts w:ascii="Times New Roman" w:eastAsia="Times New Roman" w:hAnsi="Times New Roman" w:cs="Times New Roman"/>
                <w:sz w:val="24"/>
                <w:szCs w:val="24"/>
                <w:lang w:eastAsia="ru-RU"/>
              </w:rPr>
              <w:t xml:space="preserve"> Андрій Вікторович</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proofErr w:type="spellStart"/>
            <w:r w:rsidRPr="00B93EDF">
              <w:rPr>
                <w:rFonts w:ascii="Times New Roman" w:eastAsia="Times New Roman" w:hAnsi="Times New Roman" w:cs="Times New Roman"/>
                <w:sz w:val="24"/>
                <w:szCs w:val="24"/>
                <w:lang w:eastAsia="ru-RU"/>
              </w:rPr>
              <w:t>Алла</w:t>
            </w:r>
            <w:r>
              <w:rPr>
                <w:rFonts w:ascii="Times New Roman" w:eastAsia="Times New Roman" w:hAnsi="Times New Roman" w:cs="Times New Roman"/>
                <w:sz w:val="24"/>
                <w:szCs w:val="24"/>
                <w:lang w:eastAsia="ru-RU"/>
              </w:rPr>
              <w:t>хвердієва</w:t>
            </w:r>
            <w:proofErr w:type="spellEnd"/>
            <w:r>
              <w:rPr>
                <w:rFonts w:ascii="Times New Roman" w:eastAsia="Times New Roman" w:hAnsi="Times New Roman" w:cs="Times New Roman"/>
                <w:sz w:val="24"/>
                <w:szCs w:val="24"/>
                <w:lang w:eastAsia="ru-RU"/>
              </w:rPr>
              <w:t xml:space="preserve"> Ірина Валеріївна</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Діденко Юлія Олександрівна</w:t>
            </w:r>
          </w:p>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sz w:val="24"/>
                <w:szCs w:val="24"/>
                <w:lang w:eastAsia="ru-RU"/>
              </w:rPr>
              <w:t>Коваль</w:t>
            </w:r>
            <w:r>
              <w:rPr>
                <w:rFonts w:ascii="Times New Roman" w:eastAsia="Times New Roman" w:hAnsi="Times New Roman" w:cs="Times New Roman"/>
                <w:sz w:val="24"/>
                <w:szCs w:val="24"/>
                <w:lang w:eastAsia="ru-RU"/>
              </w:rPr>
              <w:t>чук Олександр Володимирович</w:t>
            </w:r>
          </w:p>
        </w:tc>
      </w:tr>
      <w:tr w:rsidR="00B93EDF" w:rsidRPr="00B93EDF" w:rsidTr="00641457">
        <w:trPr>
          <w:trHeight w:val="287"/>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b/>
                <w:sz w:val="24"/>
                <w:szCs w:val="24"/>
                <w:lang w:eastAsia="ru-RU"/>
              </w:rPr>
            </w:pPr>
            <w:r w:rsidRPr="00B93EDF">
              <w:rPr>
                <w:rFonts w:ascii="Times New Roman" w:eastAsia="Times New Roman" w:hAnsi="Times New Roman" w:cs="Times New Roman"/>
                <w:b/>
                <w:sz w:val="24"/>
                <w:szCs w:val="24"/>
                <w:lang w:eastAsia="ru-RU"/>
              </w:rPr>
              <w:t>Головний комітет</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keepNext/>
              <w:keepLines/>
              <w:shd w:val="clear" w:color="auto" w:fill="FFFFFF"/>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sz w:val="24"/>
                <w:szCs w:val="24"/>
                <w:lang w:eastAsia="ru-RU"/>
              </w:rPr>
              <w:t>Комітет з питань фінансів, податкової та митної політики</w:t>
            </w:r>
          </w:p>
        </w:tc>
      </w:tr>
      <w:tr w:rsidR="00B93EDF" w:rsidRPr="00B93EDF" w:rsidTr="00641457">
        <w:trPr>
          <w:trHeight w:val="287"/>
        </w:trPr>
        <w:tc>
          <w:tcPr>
            <w:tcW w:w="2552"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b/>
                <w:sz w:val="24"/>
                <w:szCs w:val="24"/>
                <w:lang w:eastAsia="ru-RU"/>
              </w:rPr>
              <w:t xml:space="preserve">Висновок та рекомендації </w:t>
            </w:r>
          </w:p>
        </w:tc>
        <w:tc>
          <w:tcPr>
            <w:tcW w:w="7024" w:type="dxa"/>
            <w:tcBorders>
              <w:top w:val="nil"/>
              <w:left w:val="nil"/>
              <w:bottom w:val="single" w:sz="8" w:space="0" w:color="BFBFBF"/>
              <w:right w:val="single" w:sz="8" w:space="0" w:color="BFBFBF"/>
            </w:tcBorders>
            <w:tcMar>
              <w:top w:w="100" w:type="dxa"/>
              <w:left w:w="100" w:type="dxa"/>
              <w:bottom w:w="100" w:type="dxa"/>
              <w:right w:w="100" w:type="dxa"/>
            </w:tcMar>
          </w:tcPr>
          <w:p w:rsidR="00B93EDF" w:rsidRPr="00B93EDF" w:rsidRDefault="00B93EDF" w:rsidP="00B93EDF">
            <w:pPr>
              <w:spacing w:line="240" w:lineRule="auto"/>
              <w:jc w:val="center"/>
              <w:rPr>
                <w:rFonts w:ascii="Times New Roman" w:eastAsia="Times New Roman" w:hAnsi="Times New Roman" w:cs="Times New Roman"/>
                <w:sz w:val="24"/>
                <w:szCs w:val="24"/>
                <w:lang w:eastAsia="ru-RU"/>
              </w:rPr>
            </w:pPr>
            <w:r w:rsidRPr="00B93EDF">
              <w:rPr>
                <w:rFonts w:ascii="Times New Roman" w:eastAsia="Times New Roman" w:hAnsi="Times New Roman" w:cs="Times New Roman"/>
                <w:sz w:val="24"/>
                <w:szCs w:val="24"/>
                <w:lang w:eastAsia="ru-RU"/>
              </w:rPr>
              <w:t>Негативний – Містить корупціогенні фактор</w:t>
            </w:r>
            <w:r w:rsidR="001C53C3">
              <w:rPr>
                <w:rFonts w:ascii="Times New Roman" w:eastAsia="Times New Roman" w:hAnsi="Times New Roman" w:cs="Times New Roman"/>
                <w:sz w:val="24"/>
                <w:szCs w:val="24"/>
                <w:lang w:eastAsia="ru-RU"/>
              </w:rPr>
              <w:t>и</w:t>
            </w:r>
            <w:r w:rsidRPr="00B93EDF">
              <w:rPr>
                <w:rFonts w:ascii="Times New Roman" w:eastAsia="Times New Roman" w:hAnsi="Times New Roman" w:cs="Times New Roman"/>
                <w:sz w:val="24"/>
                <w:szCs w:val="24"/>
                <w:lang w:eastAsia="ru-RU"/>
              </w:rPr>
              <w:t xml:space="preserve"> та зауваження по суті</w:t>
            </w:r>
            <w:r w:rsidR="001C53C3">
              <w:rPr>
                <w:rFonts w:ascii="Times New Roman" w:eastAsia="Times New Roman" w:hAnsi="Times New Roman" w:cs="Times New Roman"/>
                <w:sz w:val="24"/>
                <w:szCs w:val="24"/>
                <w:lang w:eastAsia="ru-RU"/>
              </w:rPr>
              <w:t xml:space="preserve">. </w:t>
            </w:r>
            <w:r w:rsidR="001C53C3" w:rsidRPr="001C53C3">
              <w:rPr>
                <w:rFonts w:ascii="Times New Roman" w:eastAsia="Times New Roman" w:hAnsi="Times New Roman" w:cs="Times New Roman"/>
                <w:sz w:val="24"/>
                <w:szCs w:val="24"/>
              </w:rPr>
              <w:t>Законопроєкт не рекомендуємо до подальшого прийняття без детального та ґрунтовного доопрацювання.</w:t>
            </w:r>
          </w:p>
        </w:tc>
      </w:tr>
    </w:tbl>
    <w:p w:rsidR="00B93EDF" w:rsidRDefault="00B93EDF" w:rsidP="001C53C3">
      <w:pPr>
        <w:spacing w:line="240" w:lineRule="auto"/>
        <w:ind w:firstLine="720"/>
        <w:jc w:val="both"/>
        <w:rPr>
          <w:rFonts w:ascii="Times New Roman" w:eastAsia="Times New Roman" w:hAnsi="Times New Roman" w:cs="Times New Roman"/>
          <w:b/>
          <w:sz w:val="24"/>
          <w:szCs w:val="24"/>
          <w:lang w:eastAsia="ru-RU"/>
        </w:rPr>
      </w:pPr>
    </w:p>
    <w:p w:rsid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sz w:val="24"/>
          <w:szCs w:val="24"/>
          <w:lang w:eastAsia="ru-RU"/>
        </w:rPr>
        <w:t>Зміст</w:t>
      </w:r>
    </w:p>
    <w:p w:rsidR="001C53C3" w:rsidRDefault="001C53C3" w:rsidP="001C53C3">
      <w:pPr>
        <w:spacing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Pr="001C53C3">
        <w:rPr>
          <w:rFonts w:ascii="Times New Roman" w:eastAsia="Times New Roman" w:hAnsi="Times New Roman" w:cs="Times New Roman"/>
          <w:b/>
          <w:sz w:val="24"/>
          <w:szCs w:val="24"/>
          <w:lang w:eastAsia="ru-RU"/>
        </w:rPr>
        <w:t>Опис законопроєкту</w:t>
      </w:r>
    </w:p>
    <w:p w:rsidR="001C53C3" w:rsidRDefault="001C53C3" w:rsidP="001C53C3">
      <w:pPr>
        <w:spacing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Pr="001C53C3">
        <w:rPr>
          <w:rFonts w:ascii="Times New Roman" w:eastAsia="Times New Roman" w:hAnsi="Times New Roman" w:cs="Times New Roman"/>
          <w:b/>
          <w:color w:val="auto"/>
          <w:sz w:val="24"/>
          <w:szCs w:val="24"/>
          <w:lang w:eastAsia="ru-RU"/>
        </w:rPr>
        <w:t>Корупціогенні фактори, зауваження та пропозиції до другого читання</w:t>
      </w:r>
    </w:p>
    <w:p w:rsidR="001C53C3" w:rsidRDefault="001C53C3" w:rsidP="001C53C3">
      <w:pPr>
        <w:spacing w:line="240" w:lineRule="auto"/>
        <w:ind w:left="720"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color w:val="auto"/>
          <w:sz w:val="24"/>
          <w:szCs w:val="24"/>
          <w:lang w:eastAsia="ru-RU"/>
        </w:rPr>
        <w:t>Резюме</w:t>
      </w:r>
    </w:p>
    <w:p w:rsidR="001C53C3" w:rsidRDefault="001C53C3" w:rsidP="001C53C3">
      <w:pPr>
        <w:spacing w:line="240" w:lineRule="auto"/>
        <w:ind w:left="720"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color w:val="auto"/>
          <w:sz w:val="24"/>
          <w:szCs w:val="24"/>
          <w:lang w:eastAsia="ru-RU"/>
        </w:rPr>
        <w:t>Повний аналіз</w:t>
      </w: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Pr="001C53C3">
        <w:rPr>
          <w:rFonts w:ascii="Times New Roman" w:eastAsia="Times New Roman" w:hAnsi="Times New Roman" w:cs="Times New Roman"/>
          <w:b/>
          <w:color w:val="auto"/>
          <w:sz w:val="24"/>
          <w:szCs w:val="24"/>
          <w:lang w:eastAsia="ru-RU"/>
        </w:rPr>
        <w:t>Інші зауваження</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sz w:val="24"/>
          <w:szCs w:val="24"/>
          <w:lang w:eastAsia="ru-RU"/>
        </w:rPr>
        <w:t>1. Опис законопроєкту</w:t>
      </w:r>
    </w:p>
    <w:p w:rsidR="001C53C3" w:rsidRPr="001C53C3" w:rsidRDefault="001C53C3" w:rsidP="001C53C3">
      <w:pPr>
        <w:widowControl w:val="0"/>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sz w:val="24"/>
          <w:szCs w:val="24"/>
          <w:lang w:eastAsia="ru-RU"/>
        </w:rPr>
        <w:t xml:space="preserve">Законопроєктом пропонується оновлення </w:t>
      </w:r>
      <w:r w:rsidRPr="001C53C3">
        <w:rPr>
          <w:rFonts w:ascii="Times New Roman" w:eastAsia="Times New Roman" w:hAnsi="Times New Roman" w:cs="Times New Roman"/>
          <w:color w:val="auto"/>
          <w:sz w:val="24"/>
          <w:szCs w:val="24"/>
          <w:lang w:eastAsia="ru-RU"/>
        </w:rPr>
        <w:t xml:space="preserve">законодавства, зокрема </w:t>
      </w:r>
      <w:r w:rsidRPr="001C53C3">
        <w:rPr>
          <w:rFonts w:ascii="Times New Roman" w:eastAsia="Times New Roman" w:hAnsi="Times New Roman" w:cs="Times New Roman"/>
          <w:sz w:val="24"/>
          <w:szCs w:val="24"/>
          <w:lang w:eastAsia="ru-RU"/>
        </w:rPr>
        <w:t>редакції чинного Закону України "Про кредитні спілки" з метою закріплення нових підходів до регулювання ринку та д</w:t>
      </w:r>
      <w:r w:rsidRPr="001C53C3">
        <w:rPr>
          <w:rFonts w:ascii="Times New Roman" w:eastAsia="Times New Roman" w:hAnsi="Times New Roman" w:cs="Times New Roman"/>
          <w:color w:val="auto"/>
          <w:sz w:val="24"/>
          <w:szCs w:val="24"/>
          <w:lang w:eastAsia="ru-RU"/>
        </w:rPr>
        <w:t xml:space="preserve">іяльності </w:t>
      </w:r>
      <w:r w:rsidRPr="001C53C3">
        <w:rPr>
          <w:rFonts w:ascii="Times New Roman" w:eastAsia="Times New Roman" w:hAnsi="Times New Roman" w:cs="Times New Roman"/>
          <w:sz w:val="24"/>
          <w:szCs w:val="24"/>
          <w:lang w:eastAsia="ru-RU"/>
        </w:rPr>
        <w:t>кредитних спілок</w:t>
      </w:r>
      <w:r w:rsidRPr="001C53C3">
        <w:rPr>
          <w:rFonts w:ascii="Times New Roman" w:eastAsia="Times New Roman" w:hAnsi="Times New Roman" w:cs="Times New Roman"/>
          <w:color w:val="auto"/>
          <w:sz w:val="24"/>
          <w:szCs w:val="24"/>
          <w:lang w:eastAsia="ru-RU"/>
        </w:rPr>
        <w:t>.</w:t>
      </w:r>
    </w:p>
    <w:p w:rsidR="001C53C3" w:rsidRPr="001C53C3" w:rsidRDefault="001C53C3" w:rsidP="001C53C3">
      <w:pPr>
        <w:widowControl w:val="0"/>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01.06.2021 з</w:t>
      </w:r>
      <w:r w:rsidRPr="001C53C3">
        <w:rPr>
          <w:rFonts w:ascii="Times New Roman" w:eastAsia="Times New Roman" w:hAnsi="Times New Roman" w:cs="Times New Roman"/>
          <w:color w:val="auto"/>
          <w:sz w:val="24"/>
          <w:szCs w:val="24"/>
          <w:lang w:eastAsia="ru-RU"/>
        </w:rPr>
        <w:t xml:space="preserve">аконопроєкт </w:t>
      </w:r>
      <w:r w:rsidRPr="001C53C3">
        <w:rPr>
          <w:rFonts w:ascii="Times New Roman" w:eastAsia="Times New Roman" w:hAnsi="Times New Roman" w:cs="Times New Roman"/>
          <w:sz w:val="24"/>
          <w:szCs w:val="24"/>
          <w:lang w:eastAsia="ru-RU"/>
        </w:rPr>
        <w:t>прийнято в першому читанні.</w:t>
      </w:r>
    </w:p>
    <w:p w:rsidR="001C53C3" w:rsidRPr="001C53C3" w:rsidRDefault="001C53C3" w:rsidP="001C53C3">
      <w:pPr>
        <w:widowControl w:val="0"/>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Висновок за результатами проведення антикорупційної експертизи до 1 читання за </w:t>
      </w:r>
      <w:r w:rsidRPr="001C53C3">
        <w:rPr>
          <w:rFonts w:ascii="Times New Roman" w:eastAsia="Times New Roman" w:hAnsi="Times New Roman" w:cs="Times New Roman"/>
          <w:color w:val="auto"/>
          <w:sz w:val="24"/>
          <w:szCs w:val="24"/>
          <w:lang w:eastAsia="ru-RU"/>
        </w:rPr>
        <w:lastRenderedPageBreak/>
        <w:t>посиланням</w:t>
      </w:r>
      <w:r w:rsidRPr="001C53C3">
        <w:rPr>
          <w:rFonts w:ascii="Times New Roman" w:eastAsia="Times New Roman" w:hAnsi="Times New Roman" w:cs="Times New Roman"/>
          <w:color w:val="auto"/>
          <w:sz w:val="24"/>
          <w:szCs w:val="24"/>
          <w:vertAlign w:val="superscript"/>
          <w:lang w:eastAsia="ru-RU"/>
        </w:rPr>
        <w:footnoteReference w:id="2"/>
      </w:r>
      <w:r w:rsidRPr="001C53C3">
        <w:rPr>
          <w:rFonts w:ascii="Times New Roman" w:eastAsia="Times New Roman" w:hAnsi="Times New Roman" w:cs="Times New Roman"/>
          <w:color w:val="auto"/>
          <w:sz w:val="24"/>
          <w:szCs w:val="24"/>
          <w:lang w:eastAsia="ru-RU"/>
        </w:rPr>
        <w:t>.</w:t>
      </w:r>
    </w:p>
    <w:p w:rsid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2. Корупціогенні фактори, зауваження та пропозиції до другого читання</w:t>
      </w:r>
    </w:p>
    <w:p w:rsid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color w:val="auto"/>
          <w:sz w:val="24"/>
          <w:szCs w:val="24"/>
          <w:lang w:eastAsia="ru-RU"/>
        </w:rPr>
        <w:t xml:space="preserve">До другого читання подано 957 поправок, </w:t>
      </w:r>
      <w:r w:rsidRPr="001C53C3">
        <w:rPr>
          <w:rFonts w:ascii="Times New Roman" w:eastAsia="Times New Roman" w:hAnsi="Times New Roman" w:cs="Times New Roman"/>
          <w:b/>
          <w:color w:val="auto"/>
          <w:sz w:val="24"/>
          <w:szCs w:val="24"/>
          <w:lang w:eastAsia="ru-RU"/>
        </w:rPr>
        <w:t xml:space="preserve">у яких враховано </w:t>
      </w:r>
      <w:r w:rsidRPr="001C53C3">
        <w:rPr>
          <w:rFonts w:ascii="Times New Roman" w:eastAsia="Times New Roman" w:hAnsi="Times New Roman" w:cs="Times New Roman"/>
          <w:b/>
          <w:color w:val="auto"/>
          <w:sz w:val="24"/>
          <w:szCs w:val="24"/>
          <w:u w:val="single"/>
          <w:lang w:eastAsia="ru-RU"/>
        </w:rPr>
        <w:t>три зауваження</w:t>
      </w:r>
      <w:r w:rsidRPr="001C53C3">
        <w:rPr>
          <w:rFonts w:ascii="Times New Roman" w:eastAsia="Times New Roman" w:hAnsi="Times New Roman" w:cs="Times New Roman"/>
          <w:b/>
          <w:color w:val="auto"/>
          <w:sz w:val="24"/>
          <w:szCs w:val="24"/>
          <w:lang w:eastAsia="ru-RU"/>
        </w:rPr>
        <w:t xml:space="preserve">, наданих ІЗІ до першого читання,  а саме: </w:t>
      </w:r>
    </w:p>
    <w:p w:rsid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 xml:space="preserve">скасовано надмірні дискреційні повноваження Регулятора в частині права звернення до  банків, інших установ, державних реєстраторів із забороною проведення будь-яких операцій з майном кредитної спілки (ч. 7 </w:t>
      </w:r>
      <w:proofErr w:type="spellStart"/>
      <w:r w:rsidRPr="001C53C3">
        <w:rPr>
          <w:rFonts w:ascii="Times New Roman" w:eastAsia="Times New Roman" w:hAnsi="Times New Roman" w:cs="Times New Roman"/>
          <w:color w:val="auto"/>
          <w:sz w:val="24"/>
          <w:szCs w:val="24"/>
          <w:lang w:eastAsia="ru-RU"/>
        </w:rPr>
        <w:t>ст</w:t>
      </w:r>
      <w:proofErr w:type="spellEnd"/>
      <w:r w:rsidRPr="001C53C3">
        <w:rPr>
          <w:rFonts w:ascii="Times New Roman" w:eastAsia="Times New Roman" w:hAnsi="Times New Roman" w:cs="Times New Roman"/>
          <w:color w:val="auto"/>
          <w:sz w:val="24"/>
          <w:szCs w:val="24"/>
          <w:lang w:eastAsia="ru-RU"/>
        </w:rPr>
        <w:t xml:space="preserve"> 58);</w:t>
      </w:r>
    </w:p>
    <w:p w:rsid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 xml:space="preserve">надано чіткий перелік “іншої інформації щодо фінансово - господарської діяльності” кредитної спілки, яка подається Регулятору (п. 3 ч. 1 ст. 32); </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доопрацьовано положення, що застереження про вчинення порушення кредитною спілкою чи про виявлення недоліків у діяльності кредитної спілки надсилаються у письмовій формі безпосередньо кредитній спілці, а не публікується на офіційному Інтернет-представництві Регулятора (ч.2 ст. 46 ).</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Водночас, законопроєкт, в редакції підготовленій до 2-го читання, містить корупціогенні фактори.</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Резюме</w:t>
      </w:r>
    </w:p>
    <w:tbl>
      <w:tblPr>
        <w:tblW w:w="9255" w:type="dxa"/>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2145"/>
      </w:tblGrid>
      <w:tr w:rsidR="001C53C3" w:rsidRPr="001C53C3" w:rsidTr="004D2649">
        <w:trPr>
          <w:trHeight w:val="900"/>
        </w:trPr>
        <w:tc>
          <w:tcPr>
            <w:tcW w:w="7110"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b/>
                <w:color w:val="auto"/>
                <w:sz w:val="24"/>
                <w:szCs w:val="24"/>
                <w:lang w:eastAsia="ru-RU"/>
              </w:rPr>
            </w:pPr>
            <w:bookmarkStart w:id="2" w:name="_GoBack"/>
            <w:r w:rsidRPr="001C53C3">
              <w:rPr>
                <w:rFonts w:ascii="Times New Roman" w:eastAsia="Times New Roman" w:hAnsi="Times New Roman" w:cs="Times New Roman"/>
                <w:b/>
                <w:color w:val="auto"/>
                <w:sz w:val="24"/>
                <w:szCs w:val="24"/>
                <w:lang w:eastAsia="ru-RU"/>
              </w:rPr>
              <w:t>Положення, які створюють корупційні ризики</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Поправки, які усувають корупційний ризик</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b/>
                <w:color w:val="auto"/>
                <w:sz w:val="24"/>
                <w:szCs w:val="24"/>
                <w:highlight w:val="white"/>
                <w:lang w:eastAsia="ru-RU"/>
              </w:rPr>
              <w:t>1. Надмірні дискреційні повноваження</w:t>
            </w:r>
            <w:r w:rsidRPr="001C53C3">
              <w:rPr>
                <w:rFonts w:ascii="Times New Roman" w:eastAsia="Times New Roman" w:hAnsi="Times New Roman" w:cs="Times New Roman"/>
                <w:color w:val="auto"/>
                <w:sz w:val="24"/>
                <w:szCs w:val="24"/>
                <w:highlight w:val="white"/>
                <w:lang w:eastAsia="ru-RU"/>
              </w:rPr>
              <w:t xml:space="preserve"> Регулятора  в частині:</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1.1. права на власний розсуд зменшити розмір або не застосовувати штрафи  до окремих підприємств (</w:t>
            </w:r>
            <w:r w:rsidRPr="001C53C3">
              <w:rPr>
                <w:rFonts w:ascii="Times New Roman" w:eastAsia="Times New Roman" w:hAnsi="Times New Roman" w:cs="Times New Roman"/>
                <w:color w:val="auto"/>
                <w:sz w:val="24"/>
                <w:szCs w:val="24"/>
                <w:lang w:eastAsia="ru-RU"/>
              </w:rPr>
              <w:t xml:space="preserve">ч. 6 статті 46 </w:t>
            </w:r>
            <w:r w:rsidRPr="001C53C3">
              <w:rPr>
                <w:rFonts w:ascii="Times New Roman" w:eastAsia="Times New Roman" w:hAnsi="Times New Roman" w:cs="Times New Roman"/>
                <w:color w:val="auto"/>
                <w:sz w:val="24"/>
                <w:szCs w:val="24"/>
                <w:highlight w:val="white"/>
                <w:lang w:eastAsia="ru-RU"/>
              </w:rPr>
              <w:t>)</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1.2. визначення умов, за яких кредитні спілки  створити окремі підрозділи з управління ризиками, наданні дозволу на реорганізацію та затвердженні плану реорганізації кредитної спілки</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lang w:eastAsia="ru-RU"/>
              </w:rPr>
              <w:t>1.3. відмовляти у наданні дозволу на реорганізацію та затвердженні плану реорганізації кредитної спілки на підставі подання документів, що містять недостовірну інформацію</w:t>
            </w:r>
            <w:r w:rsidRPr="001C53C3">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(ч. 16 ст. 56)</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відсутні</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spacing w:line="240" w:lineRule="auto"/>
              <w:jc w:val="both"/>
              <w:rPr>
                <w:rFonts w:ascii="Times New Roman" w:eastAsia="Times New Roman" w:hAnsi="Times New Roman" w:cs="Times New Roman"/>
                <w:b/>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1.4. Визначення повноважень підрозділу внутрішнього аудиту на рівні нормативно-правових актів Регулятора, а не цим Законом                 (ч. 4 ст.28)</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відсутні</w:t>
            </w:r>
          </w:p>
        </w:tc>
      </w:tr>
      <w:tr w:rsidR="001C53C3" w:rsidRPr="001C53C3" w:rsidTr="004D2649">
        <w:trPr>
          <w:trHeight w:val="1950"/>
        </w:trPr>
        <w:tc>
          <w:tcPr>
            <w:tcW w:w="7110" w:type="dxa"/>
            <w:shd w:val="clear" w:color="auto" w:fill="auto"/>
            <w:tcMar>
              <w:top w:w="100" w:type="dxa"/>
              <w:left w:w="100" w:type="dxa"/>
              <w:bottom w:w="100" w:type="dxa"/>
              <w:right w:w="100" w:type="dxa"/>
            </w:tcMar>
          </w:tcPr>
          <w:p w:rsidR="001C53C3" w:rsidRPr="001C53C3" w:rsidRDefault="001C53C3" w:rsidP="001C53C3">
            <w:pP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1.5. Надмірні дискреційні повноваження Регулятора в частині визначення переліку іншої інформації, що є важливою для цілей нагляду за діяльністю кредитної спілки (ч.5 статті 32)</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519 Народного депутата </w:t>
            </w:r>
            <w:proofErr w:type="spellStart"/>
            <w:r w:rsidRPr="001C53C3">
              <w:rPr>
                <w:rFonts w:ascii="Times New Roman" w:eastAsia="Times New Roman" w:hAnsi="Times New Roman" w:cs="Times New Roman"/>
                <w:color w:val="auto"/>
                <w:sz w:val="24"/>
                <w:szCs w:val="24"/>
                <w:highlight w:val="white"/>
                <w:lang w:eastAsia="ru-RU"/>
              </w:rPr>
              <w:t>Аллахвердієвої</w:t>
            </w:r>
            <w:proofErr w:type="spellEnd"/>
            <w:r w:rsidRPr="001C53C3">
              <w:rPr>
                <w:rFonts w:ascii="Times New Roman" w:eastAsia="Times New Roman" w:hAnsi="Times New Roman" w:cs="Times New Roman"/>
                <w:color w:val="auto"/>
                <w:sz w:val="24"/>
                <w:szCs w:val="24"/>
                <w:highlight w:val="white"/>
                <w:lang w:eastAsia="ru-RU"/>
              </w:rPr>
              <w:t xml:space="preserve"> І. В.</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spacing w:line="240" w:lineRule="auto"/>
              <w:jc w:val="both"/>
              <w:rPr>
                <w:rFonts w:ascii="Times New Roman" w:eastAsia="Times New Roman" w:hAnsi="Times New Roman" w:cs="Times New Roman"/>
                <w:i/>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1.6. Не визначення чітких підстав для позапланових інспекційних перевірок Регулятором (ч.6 статті 44) </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690 Народного депутата </w:t>
            </w:r>
            <w:proofErr w:type="spellStart"/>
            <w:r w:rsidRPr="001C53C3">
              <w:rPr>
                <w:rFonts w:ascii="Times New Roman" w:eastAsia="Times New Roman" w:hAnsi="Times New Roman" w:cs="Times New Roman"/>
                <w:color w:val="auto"/>
                <w:sz w:val="24"/>
                <w:szCs w:val="24"/>
                <w:highlight w:val="white"/>
                <w:lang w:eastAsia="ru-RU"/>
              </w:rPr>
              <w:t>Аллахвердієвої</w:t>
            </w:r>
            <w:proofErr w:type="spellEnd"/>
            <w:r w:rsidRPr="001C53C3">
              <w:rPr>
                <w:rFonts w:ascii="Times New Roman" w:eastAsia="Times New Roman" w:hAnsi="Times New Roman" w:cs="Times New Roman"/>
                <w:color w:val="auto"/>
                <w:sz w:val="24"/>
                <w:szCs w:val="24"/>
                <w:highlight w:val="white"/>
                <w:lang w:eastAsia="ru-RU"/>
              </w:rPr>
              <w:t xml:space="preserve"> І. В. </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i/>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1.7. Відсутність критеріїв обрання між мінімальною та </w:t>
            </w:r>
            <w:r w:rsidRPr="001C53C3">
              <w:rPr>
                <w:rFonts w:ascii="Times New Roman" w:eastAsia="Times New Roman" w:hAnsi="Times New Roman" w:cs="Times New Roman"/>
                <w:color w:val="auto"/>
                <w:sz w:val="24"/>
                <w:szCs w:val="24"/>
                <w:highlight w:val="white"/>
                <w:lang w:eastAsia="ru-RU"/>
              </w:rPr>
              <w:lastRenderedPageBreak/>
              <w:t>максимальною санкцією (відповідальністю) за одне і теж правопорушення (стаття 46)</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lastRenderedPageBreak/>
              <w:t xml:space="preserve"> відсутня</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2. </w:t>
            </w:r>
            <w:proofErr w:type="spellStart"/>
            <w:r w:rsidRPr="001C53C3">
              <w:rPr>
                <w:rFonts w:ascii="Times New Roman" w:eastAsia="Times New Roman" w:hAnsi="Times New Roman" w:cs="Times New Roman"/>
                <w:color w:val="auto"/>
                <w:sz w:val="24"/>
                <w:szCs w:val="24"/>
                <w:highlight w:val="white"/>
                <w:lang w:eastAsia="ru-RU"/>
              </w:rPr>
              <w:t>Необгрунтоване</w:t>
            </w:r>
            <w:proofErr w:type="spellEnd"/>
            <w:r w:rsidRPr="001C53C3">
              <w:rPr>
                <w:rFonts w:ascii="Times New Roman" w:eastAsia="Times New Roman" w:hAnsi="Times New Roman" w:cs="Times New Roman"/>
                <w:color w:val="auto"/>
                <w:sz w:val="24"/>
                <w:szCs w:val="24"/>
                <w:highlight w:val="white"/>
                <w:lang w:eastAsia="ru-RU"/>
              </w:rPr>
              <w:t xml:space="preserve"> використання оціночних понять без наповнення їх чітким змістом (“неповна та/або недостовірна інформація” (ч.6 статті 12), “ефективна система внутрішнього контролю”, “високий рівень культури”, (ч.2 статті 17), “комплексна та адекватна система управління ризиками” (ч.1 статті 26).</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274- Народного депутата </w:t>
            </w:r>
            <w:proofErr w:type="spellStart"/>
            <w:r w:rsidRPr="001C53C3">
              <w:rPr>
                <w:rFonts w:ascii="Times New Roman" w:eastAsia="Times New Roman" w:hAnsi="Times New Roman" w:cs="Times New Roman"/>
                <w:color w:val="auto"/>
                <w:sz w:val="24"/>
                <w:szCs w:val="24"/>
                <w:highlight w:val="white"/>
                <w:lang w:eastAsia="ru-RU"/>
              </w:rPr>
              <w:t>Пузійчук</w:t>
            </w:r>
            <w:proofErr w:type="spellEnd"/>
            <w:r w:rsidRPr="001C53C3">
              <w:rPr>
                <w:rFonts w:ascii="Times New Roman" w:eastAsia="Times New Roman" w:hAnsi="Times New Roman" w:cs="Times New Roman"/>
                <w:color w:val="auto"/>
                <w:sz w:val="24"/>
                <w:szCs w:val="24"/>
                <w:highlight w:val="white"/>
                <w:lang w:eastAsia="ru-RU"/>
              </w:rPr>
              <w:t xml:space="preserve"> А. В. (</w:t>
            </w:r>
            <w:proofErr w:type="spellStart"/>
            <w:r w:rsidRPr="001C53C3">
              <w:rPr>
                <w:rFonts w:ascii="Times New Roman" w:eastAsia="Times New Roman" w:hAnsi="Times New Roman" w:cs="Times New Roman"/>
                <w:color w:val="auto"/>
                <w:sz w:val="24"/>
                <w:szCs w:val="24"/>
                <w:highlight w:val="white"/>
                <w:lang w:eastAsia="ru-RU"/>
              </w:rPr>
              <w:t>р.к</w:t>
            </w:r>
            <w:proofErr w:type="spellEnd"/>
            <w:r w:rsidRPr="001C53C3">
              <w:rPr>
                <w:rFonts w:ascii="Times New Roman" w:eastAsia="Times New Roman" w:hAnsi="Times New Roman" w:cs="Times New Roman"/>
                <w:color w:val="auto"/>
                <w:sz w:val="24"/>
                <w:szCs w:val="24"/>
                <w:highlight w:val="white"/>
                <w:lang w:eastAsia="ru-RU"/>
              </w:rPr>
              <w:t>. №182)</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275- Народного депутата </w:t>
            </w:r>
            <w:proofErr w:type="spellStart"/>
            <w:r w:rsidRPr="001C53C3">
              <w:rPr>
                <w:rFonts w:ascii="Times New Roman" w:eastAsia="Times New Roman" w:hAnsi="Times New Roman" w:cs="Times New Roman"/>
                <w:color w:val="auto"/>
                <w:sz w:val="24"/>
                <w:szCs w:val="24"/>
                <w:highlight w:val="white"/>
                <w:lang w:eastAsia="ru-RU"/>
              </w:rPr>
              <w:t>Пузійчук</w:t>
            </w:r>
            <w:proofErr w:type="spellEnd"/>
            <w:r w:rsidRPr="001C53C3">
              <w:rPr>
                <w:rFonts w:ascii="Times New Roman" w:eastAsia="Times New Roman" w:hAnsi="Times New Roman" w:cs="Times New Roman"/>
                <w:color w:val="auto"/>
                <w:sz w:val="24"/>
                <w:szCs w:val="24"/>
                <w:highlight w:val="white"/>
                <w:lang w:eastAsia="ru-RU"/>
              </w:rPr>
              <w:t xml:space="preserve"> А. В. (</w:t>
            </w:r>
            <w:proofErr w:type="spellStart"/>
            <w:r w:rsidRPr="001C53C3">
              <w:rPr>
                <w:rFonts w:ascii="Times New Roman" w:eastAsia="Times New Roman" w:hAnsi="Times New Roman" w:cs="Times New Roman"/>
                <w:color w:val="auto"/>
                <w:sz w:val="24"/>
                <w:szCs w:val="24"/>
                <w:highlight w:val="white"/>
                <w:lang w:eastAsia="ru-RU"/>
              </w:rPr>
              <w:t>р.к</w:t>
            </w:r>
            <w:proofErr w:type="spellEnd"/>
            <w:r w:rsidRPr="001C53C3">
              <w:rPr>
                <w:rFonts w:ascii="Times New Roman" w:eastAsia="Times New Roman" w:hAnsi="Times New Roman" w:cs="Times New Roman"/>
                <w:color w:val="auto"/>
                <w:sz w:val="24"/>
                <w:szCs w:val="24"/>
                <w:highlight w:val="white"/>
                <w:lang w:eastAsia="ru-RU"/>
              </w:rPr>
              <w:t>. №182)</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459- Народного депутата </w:t>
            </w:r>
            <w:proofErr w:type="spellStart"/>
            <w:r w:rsidRPr="001C53C3">
              <w:rPr>
                <w:rFonts w:ascii="Times New Roman" w:eastAsia="Times New Roman" w:hAnsi="Times New Roman" w:cs="Times New Roman"/>
                <w:color w:val="auto"/>
                <w:sz w:val="24"/>
                <w:szCs w:val="24"/>
                <w:highlight w:val="white"/>
                <w:lang w:eastAsia="ru-RU"/>
              </w:rPr>
              <w:t>Аллахвердієва</w:t>
            </w:r>
            <w:proofErr w:type="spellEnd"/>
            <w:r w:rsidRPr="001C53C3">
              <w:rPr>
                <w:rFonts w:ascii="Times New Roman" w:eastAsia="Times New Roman" w:hAnsi="Times New Roman" w:cs="Times New Roman"/>
                <w:color w:val="auto"/>
                <w:sz w:val="24"/>
                <w:szCs w:val="24"/>
                <w:highlight w:val="white"/>
                <w:lang w:eastAsia="ru-RU"/>
              </w:rPr>
              <w:t xml:space="preserve"> І. В. (</w:t>
            </w:r>
            <w:proofErr w:type="spellStart"/>
            <w:r w:rsidRPr="001C53C3">
              <w:rPr>
                <w:rFonts w:ascii="Times New Roman" w:eastAsia="Times New Roman" w:hAnsi="Times New Roman" w:cs="Times New Roman"/>
                <w:color w:val="auto"/>
                <w:sz w:val="24"/>
                <w:szCs w:val="24"/>
                <w:highlight w:val="white"/>
                <w:lang w:eastAsia="ru-RU"/>
              </w:rPr>
              <w:t>р.к</w:t>
            </w:r>
            <w:proofErr w:type="spellEnd"/>
            <w:r w:rsidRPr="001C53C3">
              <w:rPr>
                <w:rFonts w:ascii="Times New Roman" w:eastAsia="Times New Roman" w:hAnsi="Times New Roman" w:cs="Times New Roman"/>
                <w:color w:val="auto"/>
                <w:sz w:val="24"/>
                <w:szCs w:val="24"/>
                <w:highlight w:val="white"/>
                <w:lang w:eastAsia="ru-RU"/>
              </w:rPr>
              <w:t>. №112)</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3. Відсутній порядок  прийняття рішення про припинення діяльності відокремленого підрозділу, якщо його діяльність не відповідає вимогам законодавства (ч.4 статті 13)</w:t>
            </w:r>
          </w:p>
        </w:tc>
        <w:tc>
          <w:tcPr>
            <w:tcW w:w="2145" w:type="dxa"/>
            <w:shd w:val="clear" w:color="auto" w:fill="auto"/>
            <w:tcMar>
              <w:top w:w="100" w:type="dxa"/>
              <w:left w:w="100" w:type="dxa"/>
              <w:bottom w:w="100" w:type="dxa"/>
              <w:right w:w="100" w:type="dxa"/>
            </w:tcMar>
          </w:tcPr>
          <w:p w:rsidR="001C53C3" w:rsidRPr="001C53C3" w:rsidRDefault="001C53C3" w:rsidP="001C53C3">
            <w:pPr>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221- </w:t>
            </w:r>
            <w:r w:rsidRPr="001C53C3">
              <w:rPr>
                <w:rFonts w:ascii="Times New Roman" w:eastAsia="Times New Roman" w:hAnsi="Times New Roman" w:cs="Times New Roman"/>
                <w:color w:val="auto"/>
                <w:sz w:val="24"/>
                <w:szCs w:val="24"/>
                <w:highlight w:val="white"/>
                <w:lang w:eastAsia="ru-RU"/>
              </w:rPr>
              <w:t>Народного депутата</w:t>
            </w:r>
            <w:r w:rsidRPr="001C53C3">
              <w:rPr>
                <w:rFonts w:ascii="Times New Roman" w:eastAsia="Times New Roman" w:hAnsi="Times New Roman" w:cs="Times New Roman"/>
                <w:color w:val="auto"/>
                <w:sz w:val="24"/>
                <w:szCs w:val="24"/>
                <w:lang w:eastAsia="ru-RU"/>
              </w:rPr>
              <w:t xml:space="preserve"> </w:t>
            </w:r>
            <w:proofErr w:type="spellStart"/>
            <w:r w:rsidRPr="001C53C3">
              <w:rPr>
                <w:rFonts w:ascii="Times New Roman" w:eastAsia="Times New Roman" w:hAnsi="Times New Roman" w:cs="Times New Roman"/>
                <w:color w:val="auto"/>
                <w:sz w:val="24"/>
                <w:szCs w:val="24"/>
                <w:lang w:eastAsia="ru-RU"/>
              </w:rPr>
              <w:t>Батенко</w:t>
            </w:r>
            <w:proofErr w:type="spellEnd"/>
            <w:r w:rsidRPr="001C53C3">
              <w:rPr>
                <w:rFonts w:ascii="Times New Roman" w:eastAsia="Times New Roman" w:hAnsi="Times New Roman" w:cs="Times New Roman"/>
                <w:color w:val="auto"/>
                <w:sz w:val="24"/>
                <w:szCs w:val="24"/>
                <w:lang w:eastAsia="ru-RU"/>
              </w:rPr>
              <w:t xml:space="preserve"> Т. І. (</w:t>
            </w:r>
            <w:proofErr w:type="spellStart"/>
            <w:r w:rsidRPr="001C53C3">
              <w:rPr>
                <w:rFonts w:ascii="Times New Roman" w:eastAsia="Times New Roman" w:hAnsi="Times New Roman" w:cs="Times New Roman"/>
                <w:color w:val="auto"/>
                <w:sz w:val="24"/>
                <w:szCs w:val="24"/>
                <w:lang w:eastAsia="ru-RU"/>
              </w:rPr>
              <w:t>р.к</w:t>
            </w:r>
            <w:proofErr w:type="spellEnd"/>
            <w:r w:rsidRPr="001C53C3">
              <w:rPr>
                <w:rFonts w:ascii="Times New Roman" w:eastAsia="Times New Roman" w:hAnsi="Times New Roman" w:cs="Times New Roman"/>
                <w:color w:val="auto"/>
                <w:sz w:val="24"/>
                <w:szCs w:val="24"/>
                <w:lang w:eastAsia="ru-RU"/>
              </w:rPr>
              <w:t xml:space="preserve">. №324) </w:t>
            </w:r>
          </w:p>
          <w:p w:rsidR="001C53C3" w:rsidRPr="001C53C3" w:rsidRDefault="001C53C3" w:rsidP="001C53C3">
            <w:pPr>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222- </w:t>
            </w:r>
            <w:r w:rsidRPr="001C53C3">
              <w:rPr>
                <w:rFonts w:ascii="Times New Roman" w:eastAsia="Times New Roman" w:hAnsi="Times New Roman" w:cs="Times New Roman"/>
                <w:color w:val="auto"/>
                <w:sz w:val="24"/>
                <w:szCs w:val="24"/>
                <w:highlight w:val="white"/>
                <w:lang w:eastAsia="ru-RU"/>
              </w:rPr>
              <w:t>Народного депутата</w:t>
            </w:r>
            <w:r w:rsidRPr="001C53C3">
              <w:rPr>
                <w:rFonts w:ascii="Times New Roman" w:eastAsia="Times New Roman" w:hAnsi="Times New Roman" w:cs="Times New Roman"/>
                <w:color w:val="auto"/>
                <w:sz w:val="24"/>
                <w:szCs w:val="24"/>
                <w:lang w:eastAsia="ru-RU"/>
              </w:rPr>
              <w:t xml:space="preserve"> </w:t>
            </w:r>
            <w:proofErr w:type="spellStart"/>
            <w:r w:rsidRPr="001C53C3">
              <w:rPr>
                <w:rFonts w:ascii="Times New Roman" w:eastAsia="Times New Roman" w:hAnsi="Times New Roman" w:cs="Times New Roman"/>
                <w:color w:val="auto"/>
                <w:sz w:val="24"/>
                <w:szCs w:val="24"/>
                <w:lang w:eastAsia="ru-RU"/>
              </w:rPr>
              <w:t>Лубінець</w:t>
            </w:r>
            <w:proofErr w:type="spellEnd"/>
            <w:r w:rsidRPr="001C53C3">
              <w:rPr>
                <w:rFonts w:ascii="Times New Roman" w:eastAsia="Times New Roman" w:hAnsi="Times New Roman" w:cs="Times New Roman"/>
                <w:color w:val="auto"/>
                <w:sz w:val="24"/>
                <w:szCs w:val="24"/>
                <w:lang w:eastAsia="ru-RU"/>
              </w:rPr>
              <w:t xml:space="preserve"> Д. В. (</w:t>
            </w:r>
            <w:proofErr w:type="spellStart"/>
            <w:r w:rsidRPr="001C53C3">
              <w:rPr>
                <w:rFonts w:ascii="Times New Roman" w:eastAsia="Times New Roman" w:hAnsi="Times New Roman" w:cs="Times New Roman"/>
                <w:color w:val="auto"/>
                <w:sz w:val="24"/>
                <w:szCs w:val="24"/>
                <w:lang w:eastAsia="ru-RU"/>
              </w:rPr>
              <w:t>р.к</w:t>
            </w:r>
            <w:proofErr w:type="spellEnd"/>
            <w:r w:rsidRPr="001C53C3">
              <w:rPr>
                <w:rFonts w:ascii="Times New Roman" w:eastAsia="Times New Roman" w:hAnsi="Times New Roman" w:cs="Times New Roman"/>
                <w:color w:val="auto"/>
                <w:sz w:val="24"/>
                <w:szCs w:val="24"/>
                <w:lang w:eastAsia="ru-RU"/>
              </w:rPr>
              <w:t xml:space="preserve">. №267) </w:t>
            </w:r>
          </w:p>
          <w:p w:rsidR="001C53C3" w:rsidRPr="001C53C3" w:rsidRDefault="001C53C3" w:rsidP="001C53C3">
            <w:pPr>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223- </w:t>
            </w:r>
            <w:r w:rsidRPr="001C53C3">
              <w:rPr>
                <w:rFonts w:ascii="Times New Roman" w:eastAsia="Times New Roman" w:hAnsi="Times New Roman" w:cs="Times New Roman"/>
                <w:color w:val="auto"/>
                <w:sz w:val="24"/>
                <w:szCs w:val="24"/>
                <w:highlight w:val="white"/>
                <w:lang w:eastAsia="ru-RU"/>
              </w:rPr>
              <w:t>Народного депутата</w:t>
            </w:r>
            <w:r w:rsidRPr="001C53C3">
              <w:rPr>
                <w:rFonts w:ascii="Times New Roman" w:eastAsia="Times New Roman" w:hAnsi="Times New Roman" w:cs="Times New Roman"/>
                <w:color w:val="auto"/>
                <w:sz w:val="24"/>
                <w:szCs w:val="24"/>
                <w:lang w:eastAsia="ru-RU"/>
              </w:rPr>
              <w:t xml:space="preserve"> </w:t>
            </w:r>
            <w:proofErr w:type="spellStart"/>
            <w:r w:rsidRPr="001C53C3">
              <w:rPr>
                <w:rFonts w:ascii="Times New Roman" w:eastAsia="Times New Roman" w:hAnsi="Times New Roman" w:cs="Times New Roman"/>
                <w:color w:val="auto"/>
                <w:sz w:val="24"/>
                <w:szCs w:val="24"/>
                <w:lang w:eastAsia="ru-RU"/>
              </w:rPr>
              <w:t>Аллахвердієва</w:t>
            </w:r>
            <w:proofErr w:type="spellEnd"/>
            <w:r w:rsidRPr="001C53C3">
              <w:rPr>
                <w:rFonts w:ascii="Times New Roman" w:eastAsia="Times New Roman" w:hAnsi="Times New Roman" w:cs="Times New Roman"/>
                <w:color w:val="auto"/>
                <w:sz w:val="24"/>
                <w:szCs w:val="24"/>
                <w:lang w:eastAsia="ru-RU"/>
              </w:rPr>
              <w:t xml:space="preserve"> І. В. (</w:t>
            </w:r>
            <w:proofErr w:type="spellStart"/>
            <w:r w:rsidRPr="001C53C3">
              <w:rPr>
                <w:rFonts w:ascii="Times New Roman" w:eastAsia="Times New Roman" w:hAnsi="Times New Roman" w:cs="Times New Roman"/>
                <w:color w:val="auto"/>
                <w:sz w:val="24"/>
                <w:szCs w:val="24"/>
                <w:lang w:eastAsia="ru-RU"/>
              </w:rPr>
              <w:t>р.к</w:t>
            </w:r>
            <w:proofErr w:type="spellEnd"/>
            <w:r w:rsidRPr="001C53C3">
              <w:rPr>
                <w:rFonts w:ascii="Times New Roman" w:eastAsia="Times New Roman" w:hAnsi="Times New Roman" w:cs="Times New Roman"/>
                <w:color w:val="auto"/>
                <w:sz w:val="24"/>
                <w:szCs w:val="24"/>
                <w:lang w:eastAsia="ru-RU"/>
              </w:rPr>
              <w:t>. №112)</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4. Неналежне регулювання нормативно-правовими актами Регулятора обмежень права на здійснення  іншої господарської діяльності за відсутності загальних принципів до встановлення таких обмежень (п.11 ч.5 статті 4)</w:t>
            </w:r>
          </w:p>
          <w:p w:rsidR="001C53C3" w:rsidRPr="001C53C3" w:rsidRDefault="001C53C3" w:rsidP="001C53C3">
            <w:pPr>
              <w:spacing w:line="240" w:lineRule="auto"/>
              <w:ind w:firstLine="567"/>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 xml:space="preserve">№ 96- Народного депутата </w:t>
            </w:r>
            <w:proofErr w:type="spellStart"/>
            <w:r w:rsidRPr="001C53C3">
              <w:rPr>
                <w:rFonts w:ascii="Times New Roman" w:eastAsia="Times New Roman" w:hAnsi="Times New Roman" w:cs="Times New Roman"/>
                <w:color w:val="auto"/>
                <w:sz w:val="24"/>
                <w:szCs w:val="24"/>
                <w:highlight w:val="white"/>
                <w:lang w:eastAsia="ru-RU"/>
              </w:rPr>
              <w:t>Лабазюк</w:t>
            </w:r>
            <w:proofErr w:type="spellEnd"/>
            <w:r w:rsidRPr="001C53C3">
              <w:rPr>
                <w:rFonts w:ascii="Times New Roman" w:eastAsia="Times New Roman" w:hAnsi="Times New Roman" w:cs="Times New Roman"/>
                <w:color w:val="auto"/>
                <w:sz w:val="24"/>
                <w:szCs w:val="24"/>
                <w:highlight w:val="white"/>
                <w:lang w:eastAsia="ru-RU"/>
              </w:rPr>
              <w:t xml:space="preserve"> С. П. (</w:t>
            </w:r>
            <w:proofErr w:type="spellStart"/>
            <w:r w:rsidRPr="001C53C3">
              <w:rPr>
                <w:rFonts w:ascii="Times New Roman" w:eastAsia="Times New Roman" w:hAnsi="Times New Roman" w:cs="Times New Roman"/>
                <w:color w:val="auto"/>
                <w:sz w:val="24"/>
                <w:szCs w:val="24"/>
                <w:highlight w:val="white"/>
                <w:lang w:eastAsia="ru-RU"/>
              </w:rPr>
              <w:t>р.к</w:t>
            </w:r>
            <w:proofErr w:type="spellEnd"/>
            <w:r w:rsidRPr="001C53C3">
              <w:rPr>
                <w:rFonts w:ascii="Times New Roman" w:eastAsia="Times New Roman" w:hAnsi="Times New Roman" w:cs="Times New Roman"/>
                <w:color w:val="auto"/>
                <w:sz w:val="24"/>
                <w:szCs w:val="24"/>
                <w:highlight w:val="white"/>
                <w:lang w:eastAsia="ru-RU"/>
              </w:rPr>
              <w:t xml:space="preserve">. №389)  </w:t>
            </w:r>
          </w:p>
        </w:tc>
      </w:tr>
      <w:tr w:rsidR="001C53C3" w:rsidRPr="001C53C3" w:rsidTr="004D2649">
        <w:tc>
          <w:tcPr>
            <w:tcW w:w="7110" w:type="dxa"/>
            <w:shd w:val="clear" w:color="auto" w:fill="auto"/>
            <w:tcMar>
              <w:top w:w="100" w:type="dxa"/>
              <w:left w:w="100" w:type="dxa"/>
              <w:bottom w:w="100" w:type="dxa"/>
              <w:right w:w="100" w:type="dxa"/>
            </w:tcMar>
          </w:tcPr>
          <w:p w:rsidR="001C53C3" w:rsidRPr="001C53C3" w:rsidRDefault="001C53C3" w:rsidP="001C53C3">
            <w:pP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5.1. Встановлення штучних перешкод для отримувачів ліцензії щодо необхідності подання засвідченої в установленому порядку копії статуту заявника (п.2 ч.2 статті 10)</w:t>
            </w:r>
          </w:p>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w:t>
            </w:r>
          </w:p>
        </w:tc>
        <w:tc>
          <w:tcPr>
            <w:tcW w:w="2145" w:type="dxa"/>
            <w:shd w:val="clear" w:color="auto" w:fill="auto"/>
            <w:tcMar>
              <w:top w:w="100" w:type="dxa"/>
              <w:left w:w="100" w:type="dxa"/>
              <w:bottom w:w="100" w:type="dxa"/>
              <w:right w:w="100" w:type="dxa"/>
            </w:tcMar>
          </w:tcPr>
          <w:p w:rsidR="001C53C3" w:rsidRPr="001C53C3" w:rsidRDefault="001C53C3" w:rsidP="001C53C3">
            <w:pPr>
              <w:widowControl w:val="0"/>
              <w:pBdr>
                <w:top w:val="nil"/>
                <w:left w:val="nil"/>
                <w:bottom w:val="nil"/>
                <w:right w:val="nil"/>
                <w:between w:val="nil"/>
              </w:pBdr>
              <w:spacing w:line="240" w:lineRule="auto"/>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відсутня</w:t>
            </w:r>
          </w:p>
        </w:tc>
      </w:tr>
      <w:bookmarkEnd w:id="2"/>
    </w:tbl>
    <w:p w:rsidR="001C53C3" w:rsidRPr="001C53C3" w:rsidRDefault="001C53C3" w:rsidP="001C53C3">
      <w:pPr>
        <w:spacing w:line="240" w:lineRule="auto"/>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color w:val="auto"/>
          <w:sz w:val="24"/>
          <w:szCs w:val="24"/>
          <w:lang w:eastAsia="ru-RU"/>
        </w:rPr>
        <w:t>Повний аналіз к</w:t>
      </w:r>
      <w:r w:rsidRPr="001C53C3">
        <w:rPr>
          <w:rFonts w:ascii="Times New Roman" w:eastAsia="Times New Roman" w:hAnsi="Times New Roman" w:cs="Times New Roman"/>
          <w:b/>
          <w:sz w:val="24"/>
          <w:szCs w:val="24"/>
          <w:lang w:eastAsia="ru-RU"/>
        </w:rPr>
        <w:t>орупціогенн</w:t>
      </w:r>
      <w:r w:rsidRPr="001C53C3">
        <w:rPr>
          <w:rFonts w:ascii="Times New Roman" w:eastAsia="Times New Roman" w:hAnsi="Times New Roman" w:cs="Times New Roman"/>
          <w:b/>
          <w:color w:val="auto"/>
          <w:sz w:val="24"/>
          <w:szCs w:val="24"/>
          <w:lang w:eastAsia="ru-RU"/>
        </w:rPr>
        <w:t>их</w:t>
      </w:r>
      <w:r w:rsidRPr="001C53C3">
        <w:rPr>
          <w:rFonts w:ascii="Times New Roman" w:eastAsia="Times New Roman" w:hAnsi="Times New Roman" w:cs="Times New Roman"/>
          <w:b/>
          <w:sz w:val="24"/>
          <w:szCs w:val="24"/>
          <w:lang w:eastAsia="ru-RU"/>
        </w:rPr>
        <w:t xml:space="preserve"> фактор</w:t>
      </w:r>
      <w:r w:rsidRPr="001C53C3">
        <w:rPr>
          <w:rFonts w:ascii="Times New Roman" w:eastAsia="Times New Roman" w:hAnsi="Times New Roman" w:cs="Times New Roman"/>
          <w:b/>
          <w:color w:val="auto"/>
          <w:sz w:val="24"/>
          <w:szCs w:val="24"/>
          <w:lang w:eastAsia="ru-RU"/>
        </w:rPr>
        <w:t>ів</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1. Надмірні дискреційні повноваження</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1.1. Частиною шостою статті 46 законопроєкту пропонується встановити, що Регулятор </w:t>
      </w:r>
      <w:r w:rsidRPr="001C53C3">
        <w:rPr>
          <w:rFonts w:ascii="Times New Roman" w:eastAsia="Times New Roman" w:hAnsi="Times New Roman" w:cs="Times New Roman"/>
          <w:b/>
          <w:color w:val="auto"/>
          <w:sz w:val="24"/>
          <w:szCs w:val="24"/>
          <w:lang w:eastAsia="ru-RU"/>
        </w:rPr>
        <w:t>може зменшити розмір</w:t>
      </w:r>
      <w:r w:rsidRPr="001C53C3">
        <w:rPr>
          <w:rFonts w:ascii="Times New Roman" w:eastAsia="Times New Roman" w:hAnsi="Times New Roman" w:cs="Times New Roman"/>
          <w:color w:val="auto"/>
          <w:sz w:val="24"/>
          <w:szCs w:val="24"/>
          <w:lang w:eastAsia="ru-RU"/>
        </w:rPr>
        <w:t xml:space="preserve"> штрафних санкцій </w:t>
      </w:r>
      <w:r w:rsidRPr="001C53C3">
        <w:rPr>
          <w:rFonts w:ascii="Times New Roman" w:eastAsia="Times New Roman" w:hAnsi="Times New Roman" w:cs="Times New Roman"/>
          <w:b/>
          <w:color w:val="auto"/>
          <w:sz w:val="24"/>
          <w:szCs w:val="24"/>
          <w:lang w:eastAsia="ru-RU"/>
        </w:rPr>
        <w:t>або не накладати штраф</w:t>
      </w:r>
      <w:r w:rsidRPr="001C53C3">
        <w:rPr>
          <w:rFonts w:ascii="Times New Roman" w:eastAsia="Times New Roman" w:hAnsi="Times New Roman" w:cs="Times New Roman"/>
          <w:color w:val="auto"/>
          <w:sz w:val="24"/>
          <w:szCs w:val="24"/>
          <w:lang w:eastAsia="ru-RU"/>
        </w:rPr>
        <w:t xml:space="preserve"> у випадку якщо стягнення суми штрафу </w:t>
      </w:r>
      <w:r w:rsidRPr="001C53C3">
        <w:rPr>
          <w:rFonts w:ascii="Times New Roman" w:eastAsia="Times New Roman" w:hAnsi="Times New Roman" w:cs="Times New Roman"/>
          <w:b/>
          <w:color w:val="auto"/>
          <w:sz w:val="24"/>
          <w:szCs w:val="24"/>
          <w:lang w:eastAsia="ru-RU"/>
        </w:rPr>
        <w:t>спричинить суттєве погіршення фінансового стану кредитної спілки або спричинить неспроможність кредитної спілки</w:t>
      </w:r>
      <w:r w:rsidRPr="001C53C3">
        <w:rPr>
          <w:rFonts w:ascii="Times New Roman" w:eastAsia="Times New Roman" w:hAnsi="Times New Roman" w:cs="Times New Roman"/>
          <w:color w:val="auto"/>
          <w:sz w:val="24"/>
          <w:szCs w:val="24"/>
          <w:lang w:eastAsia="ru-RU"/>
        </w:rPr>
        <w:t xml:space="preserve"> своєчасно виконувати зобов’язання перед своїми членами або загрозу їхнім інтересам.</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Проте законопроєктом </w:t>
      </w:r>
      <w:r w:rsidRPr="001C53C3">
        <w:rPr>
          <w:rFonts w:ascii="Times New Roman" w:eastAsia="Times New Roman" w:hAnsi="Times New Roman" w:cs="Times New Roman"/>
          <w:i/>
          <w:color w:val="auto"/>
          <w:sz w:val="24"/>
          <w:szCs w:val="24"/>
          <w:lang w:eastAsia="ru-RU"/>
        </w:rPr>
        <w:t>не надано критеріїв або умов</w:t>
      </w:r>
      <w:r w:rsidRPr="001C53C3">
        <w:rPr>
          <w:rFonts w:ascii="Times New Roman" w:eastAsia="Times New Roman" w:hAnsi="Times New Roman" w:cs="Times New Roman"/>
          <w:color w:val="auto"/>
          <w:sz w:val="24"/>
          <w:szCs w:val="24"/>
          <w:lang w:eastAsia="ru-RU"/>
        </w:rPr>
        <w:t>, за яких «погіршення фінансового стану кредитної спілки» можна буде вважати</w:t>
      </w:r>
      <w:r w:rsidRPr="001C53C3">
        <w:rPr>
          <w:rFonts w:ascii="Times New Roman" w:eastAsia="Times New Roman" w:hAnsi="Times New Roman" w:cs="Times New Roman"/>
          <w:b/>
          <w:color w:val="auto"/>
          <w:sz w:val="24"/>
          <w:szCs w:val="24"/>
          <w:lang w:eastAsia="ru-RU"/>
        </w:rPr>
        <w:t xml:space="preserve"> «суттєвим»</w:t>
      </w:r>
      <w:r w:rsidRPr="001C53C3">
        <w:rPr>
          <w:rFonts w:ascii="Times New Roman" w:eastAsia="Times New Roman" w:hAnsi="Times New Roman" w:cs="Times New Roman"/>
          <w:color w:val="auto"/>
          <w:sz w:val="24"/>
          <w:szCs w:val="24"/>
          <w:lang w:eastAsia="ru-RU"/>
        </w:rPr>
        <w:t xml:space="preserve">, а також що буде вважатися </w:t>
      </w:r>
      <w:r w:rsidRPr="001C53C3">
        <w:rPr>
          <w:rFonts w:ascii="Times New Roman" w:eastAsia="Times New Roman" w:hAnsi="Times New Roman" w:cs="Times New Roman"/>
          <w:b/>
          <w:color w:val="auto"/>
          <w:sz w:val="24"/>
          <w:szCs w:val="24"/>
          <w:lang w:eastAsia="ru-RU"/>
        </w:rPr>
        <w:t>«неспроможністю кредитної спілки своєчасно виконувати зобов’язання перед своїми членами або загрозу їхнім інтересам»</w:t>
      </w:r>
      <w:r w:rsidRPr="001C53C3">
        <w:rPr>
          <w:rFonts w:ascii="Times New Roman" w:eastAsia="Times New Roman" w:hAnsi="Times New Roman" w:cs="Times New Roman"/>
          <w:color w:val="auto"/>
          <w:sz w:val="24"/>
          <w:szCs w:val="24"/>
          <w:lang w:eastAsia="ru-RU"/>
        </w:rPr>
        <w:t xml:space="preserve">.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Такий недолік положення надає Регулятору повноваження приймати рішення на власний розсуд  в частині зменшення розміру штрафних санкцій або взагалі не застосування </w:t>
      </w:r>
      <w:r w:rsidRPr="001C53C3">
        <w:rPr>
          <w:rFonts w:ascii="Times New Roman" w:eastAsia="Times New Roman" w:hAnsi="Times New Roman" w:cs="Times New Roman"/>
          <w:color w:val="auto"/>
          <w:sz w:val="24"/>
          <w:szCs w:val="24"/>
          <w:lang w:eastAsia="ru-RU"/>
        </w:rPr>
        <w:lastRenderedPageBreak/>
        <w:t xml:space="preserve">таких штрафів, що сприяє виникненню корупційних ризиків та зловживань, наприклад, вимаганню неправомірної вигоди як умову </w:t>
      </w:r>
      <w:proofErr w:type="spellStart"/>
      <w:r w:rsidRPr="001C53C3">
        <w:rPr>
          <w:rFonts w:ascii="Times New Roman" w:eastAsia="Times New Roman" w:hAnsi="Times New Roman" w:cs="Times New Roman"/>
          <w:color w:val="auto"/>
          <w:sz w:val="24"/>
          <w:szCs w:val="24"/>
          <w:lang w:eastAsia="ru-RU"/>
        </w:rPr>
        <w:t>ненакладення</w:t>
      </w:r>
      <w:proofErr w:type="spellEnd"/>
      <w:r w:rsidRPr="001C53C3">
        <w:rPr>
          <w:rFonts w:ascii="Times New Roman" w:eastAsia="Times New Roman" w:hAnsi="Times New Roman" w:cs="Times New Roman"/>
          <w:color w:val="auto"/>
          <w:sz w:val="24"/>
          <w:szCs w:val="24"/>
          <w:lang w:eastAsia="ru-RU"/>
        </w:rPr>
        <w:t xml:space="preserve"> штрафу.</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З метою усунення виявлених недоліків вказане положення законопроєкту потребує суттєвого доопрацювання.</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1.2.</w:t>
      </w:r>
      <w:r w:rsidRPr="001C53C3">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Згідно з частиною п’ятою статті 25 законопроєкту,</w:t>
      </w:r>
      <w:r w:rsidRPr="001C53C3">
        <w:rPr>
          <w:rFonts w:ascii="Times New Roman" w:eastAsia="Times New Roman" w:hAnsi="Times New Roman" w:cs="Times New Roman"/>
          <w:b/>
          <w:color w:val="auto"/>
          <w:sz w:val="24"/>
          <w:szCs w:val="24"/>
          <w:lang w:eastAsia="ru-RU"/>
        </w:rPr>
        <w:t xml:space="preserve"> </w:t>
      </w:r>
      <w:r w:rsidRPr="001C53C3">
        <w:rPr>
          <w:rFonts w:ascii="Times New Roman" w:eastAsia="Times New Roman" w:hAnsi="Times New Roman" w:cs="Times New Roman"/>
          <w:color w:val="auto"/>
          <w:sz w:val="24"/>
          <w:szCs w:val="24"/>
          <w:lang w:eastAsia="ru-RU"/>
        </w:rPr>
        <w:t xml:space="preserve">Регулятор своїми нормативно-правовими актами </w:t>
      </w:r>
      <w:r w:rsidRPr="001C53C3">
        <w:rPr>
          <w:rFonts w:ascii="Times New Roman" w:eastAsia="Times New Roman" w:hAnsi="Times New Roman" w:cs="Times New Roman"/>
          <w:b/>
          <w:color w:val="auto"/>
          <w:sz w:val="24"/>
          <w:szCs w:val="24"/>
          <w:u w:val="single"/>
          <w:lang w:eastAsia="ru-RU"/>
        </w:rPr>
        <w:t>може</w:t>
      </w:r>
      <w:r w:rsidRPr="001C53C3">
        <w:rPr>
          <w:rFonts w:ascii="Times New Roman" w:eastAsia="Times New Roman" w:hAnsi="Times New Roman" w:cs="Times New Roman"/>
          <w:b/>
          <w:color w:val="auto"/>
          <w:sz w:val="24"/>
          <w:szCs w:val="24"/>
          <w:lang w:eastAsia="ru-RU"/>
        </w:rPr>
        <w:t xml:space="preserve"> визначати умови</w:t>
      </w:r>
      <w:r w:rsidRPr="001C53C3">
        <w:rPr>
          <w:rFonts w:ascii="Times New Roman" w:eastAsia="Times New Roman" w:hAnsi="Times New Roman" w:cs="Times New Roman"/>
          <w:color w:val="auto"/>
          <w:sz w:val="24"/>
          <w:szCs w:val="24"/>
          <w:lang w:eastAsia="ru-RU"/>
        </w:rPr>
        <w:t xml:space="preserve">, </w:t>
      </w:r>
      <w:r w:rsidRPr="001C53C3">
        <w:rPr>
          <w:rFonts w:ascii="Times New Roman" w:eastAsia="Times New Roman" w:hAnsi="Times New Roman" w:cs="Times New Roman"/>
          <w:b/>
          <w:color w:val="auto"/>
          <w:sz w:val="24"/>
          <w:szCs w:val="24"/>
          <w:lang w:eastAsia="ru-RU"/>
        </w:rPr>
        <w:t>за яких значима кредитна спілка та/або об'єднана кредитна спілка мають створити окремі підрозділи</w:t>
      </w:r>
      <w:r w:rsidRPr="001C53C3">
        <w:rPr>
          <w:rFonts w:ascii="Times New Roman" w:eastAsia="Times New Roman" w:hAnsi="Times New Roman" w:cs="Times New Roman"/>
          <w:color w:val="auto"/>
          <w:sz w:val="24"/>
          <w:szCs w:val="24"/>
          <w:lang w:eastAsia="ru-RU"/>
        </w:rPr>
        <w:t xml:space="preserve"> з управління ризиками, контролю за дотриманням норм (</w:t>
      </w:r>
      <w:proofErr w:type="spellStart"/>
      <w:r w:rsidRPr="001C53C3">
        <w:rPr>
          <w:rFonts w:ascii="Times New Roman" w:eastAsia="Times New Roman" w:hAnsi="Times New Roman" w:cs="Times New Roman"/>
          <w:color w:val="auto"/>
          <w:sz w:val="24"/>
          <w:szCs w:val="24"/>
          <w:lang w:eastAsia="ru-RU"/>
        </w:rPr>
        <w:t>комплаєнс</w:t>
      </w:r>
      <w:proofErr w:type="spellEnd"/>
      <w:r w:rsidRPr="001C53C3">
        <w:rPr>
          <w:rFonts w:ascii="Times New Roman" w:eastAsia="Times New Roman" w:hAnsi="Times New Roman" w:cs="Times New Roman"/>
          <w:color w:val="auto"/>
          <w:sz w:val="24"/>
          <w:szCs w:val="24"/>
          <w:lang w:eastAsia="ru-RU"/>
        </w:rPr>
        <w:t>) та внутрішнього аудиту, а також порядок створення таких підрозділів.</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r w:rsidRPr="001C53C3">
        <w:rPr>
          <w:rFonts w:ascii="Times New Roman" w:eastAsia="Times New Roman" w:hAnsi="Times New Roman" w:cs="Times New Roman"/>
          <w:color w:val="auto"/>
          <w:sz w:val="24"/>
          <w:szCs w:val="24"/>
          <w:lang w:eastAsia="ru-RU"/>
        </w:rPr>
        <w:t>Надання таких надмірних дискреційних повноважень сприяє виникненню корупційних ризиків, тому пропонуємо слова «може визначати» замінити на слово «визначає», а також на рівні законопроєкту передбачити основні ознаки, критерії за яких значима кредитна спілка та/або об'єднана кредитна спілка мають створити відповідні окремі підрозділи</w:t>
      </w:r>
      <w:r w:rsidRPr="001C53C3">
        <w:rPr>
          <w:rFonts w:ascii="Times New Roman" w:eastAsia="Times New Roman" w:hAnsi="Times New Roman" w:cs="Times New Roman"/>
          <w:i/>
          <w:color w:val="auto"/>
          <w:sz w:val="24"/>
          <w:szCs w:val="24"/>
          <w:lang w:eastAsia="ru-RU"/>
        </w:rPr>
        <w:t>.</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r w:rsidRPr="001C53C3">
        <w:rPr>
          <w:rFonts w:ascii="Times New Roman" w:eastAsia="Times New Roman" w:hAnsi="Times New Roman" w:cs="Times New Roman"/>
          <w:i/>
          <w:color w:val="auto"/>
          <w:sz w:val="24"/>
          <w:szCs w:val="24"/>
          <w:lang w:eastAsia="ru-RU"/>
        </w:rPr>
        <w:t>Аналогічне зауваження стосується частини четвертої статті 15, пункту 9 частини другої статті 53 законопроєкту.</w:t>
      </w:r>
    </w:p>
    <w:p w:rsidR="001C53C3" w:rsidRPr="001C53C3" w:rsidRDefault="001C53C3" w:rsidP="001C53C3">
      <w:pPr>
        <w:spacing w:line="240" w:lineRule="auto"/>
        <w:ind w:firstLine="720"/>
        <w:jc w:val="both"/>
        <w:rPr>
          <w:rFonts w:ascii="Times New Roman" w:eastAsia="Times New Roman" w:hAnsi="Times New Roman" w:cs="Times New Roman"/>
          <w:b/>
          <w:i/>
          <w:color w:val="auto"/>
          <w:sz w:val="24"/>
          <w:szCs w:val="24"/>
          <w:lang w:eastAsia="ru-RU"/>
        </w:rPr>
      </w:pPr>
      <w:r w:rsidRPr="001C53C3">
        <w:rPr>
          <w:rFonts w:ascii="Times New Roman" w:eastAsia="Times New Roman" w:hAnsi="Times New Roman" w:cs="Times New Roman"/>
          <w:i/>
          <w:color w:val="auto"/>
          <w:sz w:val="24"/>
          <w:szCs w:val="24"/>
          <w:lang w:eastAsia="ru-RU"/>
        </w:rPr>
        <w:t xml:space="preserve">1.3. Аналогічні зауваження стосуються частини шістнадцятої статті 56 законопроєкту в частині слів «Регулятор </w:t>
      </w:r>
      <w:r w:rsidRPr="001C53C3">
        <w:rPr>
          <w:rFonts w:ascii="Times New Roman" w:eastAsia="Times New Roman" w:hAnsi="Times New Roman" w:cs="Times New Roman"/>
          <w:b/>
          <w:i/>
          <w:color w:val="auto"/>
          <w:sz w:val="24"/>
          <w:szCs w:val="24"/>
          <w:lang w:eastAsia="ru-RU"/>
        </w:rPr>
        <w:t>має право</w:t>
      </w:r>
      <w:r w:rsidRPr="001C53C3">
        <w:rPr>
          <w:rFonts w:ascii="Times New Roman" w:eastAsia="Times New Roman" w:hAnsi="Times New Roman" w:cs="Times New Roman"/>
          <w:i/>
          <w:color w:val="auto"/>
          <w:sz w:val="24"/>
          <w:szCs w:val="24"/>
          <w:lang w:eastAsia="ru-RU"/>
        </w:rPr>
        <w:t xml:space="preserve"> відмовити у наданні дозволу на реорганізацію та затвердженні плану реорганізації кредитної спілки виключно у разі … 4) подані документи містять недостовірну інформацію</w:t>
      </w:r>
      <w:r w:rsidRPr="001C53C3">
        <w:rPr>
          <w:rFonts w:ascii="Times New Roman" w:eastAsia="Times New Roman" w:hAnsi="Times New Roman" w:cs="Times New Roman"/>
          <w:b/>
          <w:i/>
          <w:color w:val="auto"/>
          <w:sz w:val="24"/>
          <w:szCs w:val="24"/>
          <w:lang w:eastAsia="ru-RU"/>
        </w:rPr>
        <w:t xml:space="preserve">». </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r w:rsidRPr="001C53C3">
        <w:rPr>
          <w:rFonts w:ascii="Times New Roman" w:eastAsia="Times New Roman" w:hAnsi="Times New Roman" w:cs="Times New Roman"/>
          <w:i/>
          <w:color w:val="auto"/>
          <w:sz w:val="24"/>
          <w:szCs w:val="24"/>
          <w:lang w:eastAsia="ru-RU"/>
        </w:rPr>
        <w:t>1.4. Аналогічні зауваження стосуються</w:t>
      </w:r>
      <w:r w:rsidRPr="001C53C3">
        <w:rPr>
          <w:rFonts w:ascii="Times New Roman" w:eastAsia="Times New Roman" w:hAnsi="Times New Roman" w:cs="Times New Roman"/>
          <w:color w:val="auto"/>
          <w:sz w:val="24"/>
          <w:szCs w:val="24"/>
          <w:lang w:eastAsia="ru-RU"/>
        </w:rPr>
        <w:t xml:space="preserve"> використання таких слів я</w:t>
      </w:r>
      <w:r w:rsidRPr="001C53C3">
        <w:rPr>
          <w:rFonts w:ascii="Times New Roman" w:eastAsia="Times New Roman" w:hAnsi="Times New Roman" w:cs="Times New Roman"/>
          <w:i/>
          <w:color w:val="auto"/>
          <w:sz w:val="24"/>
          <w:szCs w:val="24"/>
          <w:lang w:eastAsia="ru-RU"/>
        </w:rPr>
        <w:t xml:space="preserve">к </w:t>
      </w:r>
      <w:r w:rsidRPr="001C53C3">
        <w:rPr>
          <w:rFonts w:ascii="Times New Roman" w:eastAsia="Times New Roman" w:hAnsi="Times New Roman" w:cs="Times New Roman"/>
          <w:color w:val="auto"/>
          <w:sz w:val="24"/>
          <w:szCs w:val="24"/>
          <w:lang w:eastAsia="ru-RU"/>
        </w:rPr>
        <w:t xml:space="preserve">«8) </w:t>
      </w:r>
      <w:r w:rsidRPr="001C53C3">
        <w:rPr>
          <w:rFonts w:ascii="Times New Roman" w:eastAsia="Times New Roman" w:hAnsi="Times New Roman" w:cs="Times New Roman"/>
          <w:i/>
          <w:color w:val="auto"/>
          <w:sz w:val="24"/>
          <w:szCs w:val="24"/>
          <w:lang w:eastAsia="ru-RU"/>
        </w:rPr>
        <w:t>інші функції, визначені нормативно-правовими актами Регулятора»</w:t>
      </w:r>
      <w:r w:rsidRPr="001C53C3">
        <w:rPr>
          <w:rFonts w:ascii="Times New Roman" w:eastAsia="Times New Roman" w:hAnsi="Times New Roman" w:cs="Times New Roman"/>
          <w:color w:val="auto"/>
          <w:sz w:val="24"/>
          <w:szCs w:val="24"/>
          <w:lang w:eastAsia="ru-RU"/>
        </w:rPr>
        <w:t xml:space="preserve"> у частині четвертій статті 28 законопроєкту. В даному випадку пропонуємо пункт 8 виключити.</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i/>
          <w:color w:val="auto"/>
          <w:sz w:val="24"/>
          <w:szCs w:val="24"/>
          <w:lang w:eastAsia="ru-RU"/>
        </w:rPr>
        <w:t>1.5. Аналогічні зауваження стосуються застосування слів у частині п’ятій статті 32 законопроєкту «</w:t>
      </w:r>
      <w:r w:rsidRPr="001C53C3">
        <w:rPr>
          <w:rFonts w:ascii="Times New Roman" w:eastAsia="Times New Roman" w:hAnsi="Times New Roman" w:cs="Times New Roman"/>
          <w:color w:val="auto"/>
          <w:sz w:val="24"/>
          <w:szCs w:val="24"/>
          <w:lang w:eastAsia="ru-RU"/>
        </w:rPr>
        <w:t>Регулятор має право визначити перелік іншої інформації, що є важливою для цілей нагляду за діяльністю кредитної спілки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1.6. Аналогічні зауваження стосуються частини шостої статті 44 законопроєкту, якою пропонується встановити, що  позапланові інспекційні перевірки </w:t>
      </w:r>
      <w:r w:rsidRPr="001C53C3">
        <w:rPr>
          <w:rFonts w:ascii="Times New Roman" w:eastAsia="Times New Roman" w:hAnsi="Times New Roman" w:cs="Times New Roman"/>
          <w:b/>
          <w:color w:val="auto"/>
          <w:sz w:val="24"/>
          <w:szCs w:val="24"/>
          <w:lang w:eastAsia="ru-RU"/>
        </w:rPr>
        <w:t>можуть проводитися з інших обґрунтованих підстав</w:t>
      </w:r>
      <w:r w:rsidRPr="001C53C3">
        <w:rPr>
          <w:rFonts w:ascii="Times New Roman" w:eastAsia="Times New Roman" w:hAnsi="Times New Roman" w:cs="Times New Roman"/>
          <w:color w:val="auto"/>
          <w:sz w:val="24"/>
          <w:szCs w:val="24"/>
          <w:lang w:eastAsia="ru-RU"/>
        </w:rPr>
        <w:t xml:space="preserve">, визначених нормативно-правовими актами Регулятора.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1.7. Статтею 46 законопроєкту визначені заходи впливу та коригувальні заходи у вигляді, зокрема, штрафів. Наприклад: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 «накладення штрафів на кредитну спілку, у розмірі </w:t>
      </w:r>
      <w:r w:rsidRPr="001C53C3">
        <w:rPr>
          <w:rFonts w:ascii="Times New Roman" w:eastAsia="Times New Roman" w:hAnsi="Times New Roman" w:cs="Times New Roman"/>
          <w:i/>
          <w:color w:val="auto"/>
          <w:sz w:val="24"/>
          <w:szCs w:val="24"/>
          <w:lang w:eastAsia="ru-RU"/>
        </w:rPr>
        <w:t>не більш як</w:t>
      </w:r>
      <w:r w:rsidRPr="001C53C3">
        <w:rPr>
          <w:rFonts w:ascii="Times New Roman" w:eastAsia="Times New Roman" w:hAnsi="Times New Roman" w:cs="Times New Roman"/>
          <w:color w:val="auto"/>
          <w:sz w:val="24"/>
          <w:szCs w:val="24"/>
          <w:lang w:eastAsia="ru-RU"/>
        </w:rPr>
        <w:t xml:space="preserve"> 0,1 відсоток суми активів кредитної спілки станом на останню звітну дату;» «у розмірі </w:t>
      </w:r>
      <w:r w:rsidRPr="001C53C3">
        <w:rPr>
          <w:rFonts w:ascii="Times New Roman" w:eastAsia="Times New Roman" w:hAnsi="Times New Roman" w:cs="Times New Roman"/>
          <w:i/>
          <w:color w:val="auto"/>
          <w:sz w:val="24"/>
          <w:szCs w:val="24"/>
          <w:lang w:eastAsia="ru-RU"/>
        </w:rPr>
        <w:t>від 1000 до 10000</w:t>
      </w:r>
      <w:r w:rsidRPr="001C53C3">
        <w:rPr>
          <w:rFonts w:ascii="Times New Roman" w:eastAsia="Times New Roman" w:hAnsi="Times New Roman" w:cs="Times New Roman"/>
          <w:color w:val="auto"/>
          <w:sz w:val="24"/>
          <w:szCs w:val="24"/>
          <w:lang w:eastAsia="ru-RU"/>
        </w:rPr>
        <w:t xml:space="preserve"> неоподатковуваних мінімумів доходів громадян;», «у розмірі </w:t>
      </w:r>
      <w:r w:rsidRPr="001C53C3">
        <w:rPr>
          <w:rFonts w:ascii="Times New Roman" w:eastAsia="Times New Roman" w:hAnsi="Times New Roman" w:cs="Times New Roman"/>
          <w:i/>
          <w:color w:val="auto"/>
          <w:sz w:val="24"/>
          <w:szCs w:val="24"/>
          <w:lang w:eastAsia="ru-RU"/>
        </w:rPr>
        <w:t>від 100 до 2000</w:t>
      </w:r>
      <w:r w:rsidRPr="001C53C3">
        <w:rPr>
          <w:rFonts w:ascii="Times New Roman" w:eastAsia="Times New Roman" w:hAnsi="Times New Roman" w:cs="Times New Roman"/>
          <w:color w:val="auto"/>
          <w:sz w:val="24"/>
          <w:szCs w:val="24"/>
          <w:lang w:eastAsia="ru-RU"/>
        </w:rPr>
        <w:t xml:space="preserve"> неоподатковуваних мінімумів доходів громадян;», «у розмірі </w:t>
      </w:r>
      <w:r w:rsidRPr="001C53C3">
        <w:rPr>
          <w:rFonts w:ascii="Times New Roman" w:eastAsia="Times New Roman" w:hAnsi="Times New Roman" w:cs="Times New Roman"/>
          <w:i/>
          <w:color w:val="auto"/>
          <w:sz w:val="24"/>
          <w:szCs w:val="24"/>
          <w:lang w:eastAsia="ru-RU"/>
        </w:rPr>
        <w:t>від 100 до 1000</w:t>
      </w:r>
      <w:r w:rsidRPr="001C53C3">
        <w:rPr>
          <w:rFonts w:ascii="Times New Roman" w:eastAsia="Times New Roman" w:hAnsi="Times New Roman" w:cs="Times New Roman"/>
          <w:color w:val="auto"/>
          <w:sz w:val="24"/>
          <w:szCs w:val="24"/>
          <w:lang w:eastAsia="ru-RU"/>
        </w:rPr>
        <w:t xml:space="preserve"> неоподатковуваних мінімумів доходів громадян;».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b/>
          <w:color w:val="auto"/>
          <w:sz w:val="24"/>
          <w:szCs w:val="24"/>
          <w:lang w:eastAsia="ru-RU"/>
        </w:rPr>
        <w:t>Відсутність критеріїв обрання між мінімальною та максимальною санкцією</w:t>
      </w:r>
      <w:r w:rsidRPr="001C53C3">
        <w:rPr>
          <w:rFonts w:ascii="Times New Roman" w:eastAsia="Times New Roman" w:hAnsi="Times New Roman" w:cs="Times New Roman"/>
          <w:color w:val="auto"/>
          <w:sz w:val="24"/>
          <w:szCs w:val="24"/>
          <w:lang w:eastAsia="ru-RU"/>
        </w:rPr>
        <w:t xml:space="preserve"> (відповідальністю) за одне і теж правопорушення сприяє виникненню корупційних ризиків, оскільки наділяє суб’єкта надмірними дискреційними повноваженнями на власний розсуд визначати конкретну суму штрафу.. </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r w:rsidRPr="001C53C3">
        <w:rPr>
          <w:rFonts w:ascii="Times New Roman" w:eastAsia="Times New Roman" w:hAnsi="Times New Roman" w:cs="Times New Roman"/>
          <w:color w:val="auto"/>
          <w:sz w:val="24"/>
          <w:szCs w:val="24"/>
          <w:lang w:eastAsia="ru-RU"/>
        </w:rPr>
        <w:t xml:space="preserve">З метою усунення цього недоліку </w:t>
      </w:r>
      <w:r w:rsidRPr="001C53C3">
        <w:rPr>
          <w:rFonts w:ascii="Times New Roman" w:eastAsia="Times New Roman" w:hAnsi="Times New Roman" w:cs="Times New Roman"/>
          <w:i/>
          <w:color w:val="auto"/>
          <w:sz w:val="24"/>
          <w:szCs w:val="24"/>
          <w:lang w:eastAsia="ru-RU"/>
        </w:rPr>
        <w:t>необхідно встановити абсолютно визначений розмір</w:t>
      </w:r>
      <w:r w:rsidRPr="001C53C3">
        <w:rPr>
          <w:rFonts w:ascii="Times New Roman" w:eastAsia="Times New Roman" w:hAnsi="Times New Roman" w:cs="Times New Roman"/>
          <w:color w:val="auto"/>
          <w:sz w:val="24"/>
          <w:szCs w:val="24"/>
          <w:lang w:eastAsia="ru-RU"/>
        </w:rPr>
        <w:t xml:space="preserve"> штрафу без градації </w:t>
      </w:r>
      <w:r w:rsidRPr="001C53C3">
        <w:rPr>
          <w:rFonts w:ascii="Times New Roman" w:eastAsia="Times New Roman" w:hAnsi="Times New Roman" w:cs="Times New Roman"/>
          <w:i/>
          <w:color w:val="auto"/>
          <w:sz w:val="24"/>
          <w:szCs w:val="24"/>
          <w:lang w:eastAsia="ru-RU"/>
        </w:rPr>
        <w:t>або надати критерії обрання між мінімальним та максимальним розміром штрафу.</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2. Необґрунтоване використання оціночних понять</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2.1. Частиною шостою статті 12 законопроєкту визначено, що Регулятор відмовляє у розширенні обсягу ліцензії у разі, якщо подані кредитною спілкою документи </w:t>
      </w:r>
      <w:r w:rsidRPr="001C53C3">
        <w:rPr>
          <w:rFonts w:ascii="Times New Roman" w:eastAsia="Times New Roman" w:hAnsi="Times New Roman" w:cs="Times New Roman"/>
          <w:b/>
          <w:color w:val="auto"/>
          <w:sz w:val="24"/>
          <w:szCs w:val="24"/>
          <w:lang w:eastAsia="ru-RU"/>
        </w:rPr>
        <w:t xml:space="preserve">містять неповну та/або недостовірну інформацію </w:t>
      </w:r>
      <w:r w:rsidRPr="001C53C3">
        <w:rPr>
          <w:rFonts w:ascii="Times New Roman" w:eastAsia="Times New Roman" w:hAnsi="Times New Roman" w:cs="Times New Roman"/>
          <w:color w:val="auto"/>
          <w:sz w:val="24"/>
          <w:szCs w:val="24"/>
          <w:lang w:eastAsia="ru-RU"/>
        </w:rPr>
        <w:t>та/або не відповідають вимогам законів України та нормативно-правових актів Регулятора.</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Водночас, у законопроєкті відсутні критерії та вимоги до такої інформації, що робить вказане поняття оціночним. Використання таких понять призведе до того, що  </w:t>
      </w:r>
      <w:r w:rsidRPr="001C53C3">
        <w:rPr>
          <w:rFonts w:ascii="Times New Roman" w:eastAsia="Times New Roman" w:hAnsi="Times New Roman" w:cs="Times New Roman"/>
          <w:color w:val="auto"/>
          <w:sz w:val="24"/>
          <w:szCs w:val="24"/>
          <w:lang w:eastAsia="ru-RU"/>
        </w:rPr>
        <w:lastRenderedPageBreak/>
        <w:t>встановлення “повноти” та  «достовірності» інформації буде виключно суб’єктивним рішенням Регулятора. Також у положеннях законопроєкту відсутня чітка регламентація порядку здійснення такого  повноваження, відсутній вичерпний перелік або чітко визначені підстави прийняття чи відмови у прийнятті рішення, що дозволяє суб’єкту владних повноважень діяти на власний розсуд, що також сприятиме виникненню корупційних ризиків</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2.2. Відповідно до частини другої статті 17 законопроєкту система управління кредитної спілки повинна відповідати вимогам щодо, зокрема, 2</w:t>
      </w:r>
      <w:r w:rsidRPr="001C53C3">
        <w:rPr>
          <w:rFonts w:ascii="Times New Roman" w:eastAsia="Times New Roman" w:hAnsi="Times New Roman" w:cs="Times New Roman"/>
          <w:b/>
          <w:color w:val="auto"/>
          <w:sz w:val="24"/>
          <w:szCs w:val="24"/>
          <w:lang w:eastAsia="ru-RU"/>
        </w:rPr>
        <w:t>) ефективної системи</w:t>
      </w:r>
      <w:r w:rsidRPr="001C53C3">
        <w:rPr>
          <w:rFonts w:ascii="Times New Roman" w:eastAsia="Times New Roman" w:hAnsi="Times New Roman" w:cs="Times New Roman"/>
          <w:color w:val="auto"/>
          <w:sz w:val="24"/>
          <w:szCs w:val="24"/>
          <w:lang w:eastAsia="ru-RU"/>
        </w:rPr>
        <w:t xml:space="preserve"> внутрішнього контролю; 5) </w:t>
      </w:r>
      <w:r w:rsidRPr="001C53C3">
        <w:rPr>
          <w:rFonts w:ascii="Times New Roman" w:eastAsia="Times New Roman" w:hAnsi="Times New Roman" w:cs="Times New Roman"/>
          <w:b/>
          <w:color w:val="auto"/>
          <w:sz w:val="24"/>
          <w:szCs w:val="24"/>
          <w:lang w:eastAsia="ru-RU"/>
        </w:rPr>
        <w:t>високого рівня культури</w:t>
      </w:r>
      <w:r w:rsidRPr="001C53C3">
        <w:rPr>
          <w:rFonts w:ascii="Times New Roman" w:eastAsia="Times New Roman" w:hAnsi="Times New Roman" w:cs="Times New Roman"/>
          <w:color w:val="auto"/>
          <w:sz w:val="24"/>
          <w:szCs w:val="24"/>
          <w:lang w:eastAsia="ru-RU"/>
        </w:rPr>
        <w:t xml:space="preserve"> управління кредитної спілкою.</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Проте у положеннях законопроєкту  вказані поняття не визначені. Використання таких оціночних понять призводить до </w:t>
      </w:r>
      <w:r w:rsidRPr="001C53C3">
        <w:rPr>
          <w:rFonts w:ascii="Times New Roman" w:eastAsia="Times New Roman" w:hAnsi="Times New Roman" w:cs="Times New Roman"/>
          <w:color w:val="auto"/>
          <w:sz w:val="24"/>
          <w:szCs w:val="24"/>
          <w:highlight w:val="white"/>
          <w:lang w:eastAsia="ru-RU"/>
        </w:rPr>
        <w:t>довільного тлумачення та самостійного наповнення їх змістом суб'єктом правозастосування – Регулятором, тому вони потребують чіткого визначення або хоча б встановлення їх головних ознак.</w:t>
      </w:r>
    </w:p>
    <w:p w:rsidR="001C53C3" w:rsidRPr="001C53C3" w:rsidRDefault="001C53C3" w:rsidP="001C53C3">
      <w:pPr>
        <w:shd w:val="clear" w:color="auto" w:fill="FFFFFF"/>
        <w:spacing w:line="240" w:lineRule="auto"/>
        <w:ind w:firstLine="720"/>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2.3. Аналогічні зауваження стосуються вживання слів «</w:t>
      </w:r>
      <w:r w:rsidRPr="001C53C3">
        <w:rPr>
          <w:rFonts w:ascii="Times New Roman" w:eastAsia="Times New Roman" w:hAnsi="Times New Roman" w:cs="Times New Roman"/>
          <w:i/>
          <w:color w:val="auto"/>
          <w:sz w:val="24"/>
          <w:szCs w:val="24"/>
          <w:highlight w:val="white"/>
          <w:lang w:eastAsia="ru-RU"/>
        </w:rPr>
        <w:t>комплексна та адекватна система управління ризиками</w:t>
      </w:r>
      <w:r w:rsidRPr="001C53C3">
        <w:rPr>
          <w:rFonts w:ascii="Times New Roman" w:eastAsia="Times New Roman" w:hAnsi="Times New Roman" w:cs="Times New Roman"/>
          <w:color w:val="auto"/>
          <w:sz w:val="24"/>
          <w:szCs w:val="24"/>
          <w:highlight w:val="white"/>
          <w:lang w:eastAsia="ru-RU"/>
        </w:rPr>
        <w:t>», що застосовується у частині першій статті 26 законопроєкту.</w:t>
      </w:r>
    </w:p>
    <w:p w:rsidR="001C53C3" w:rsidRPr="001C53C3" w:rsidRDefault="001C53C3" w:rsidP="001C53C3">
      <w:pPr>
        <w:spacing w:line="240" w:lineRule="auto"/>
        <w:ind w:firstLine="720"/>
        <w:jc w:val="both"/>
        <w:rPr>
          <w:rFonts w:ascii="Times New Roman" w:eastAsia="Times New Roman" w:hAnsi="Times New Roman" w:cs="Times New Roman"/>
          <w:i/>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sidRPr="001C53C3">
        <w:rPr>
          <w:rFonts w:ascii="Times New Roman" w:eastAsia="Times New Roman" w:hAnsi="Times New Roman" w:cs="Times New Roman"/>
          <w:b/>
          <w:color w:val="auto"/>
          <w:sz w:val="24"/>
          <w:szCs w:val="24"/>
          <w:lang w:eastAsia="ru-RU"/>
        </w:rPr>
        <w:t>3. Прогалина</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3.1. Частиною четвертою статті 13 законопроєкту визначено, що Регулятор </w:t>
      </w:r>
      <w:r w:rsidRPr="001C53C3">
        <w:rPr>
          <w:rFonts w:ascii="Times New Roman" w:eastAsia="Times New Roman" w:hAnsi="Times New Roman" w:cs="Times New Roman"/>
          <w:b/>
          <w:color w:val="auto"/>
          <w:sz w:val="24"/>
          <w:szCs w:val="24"/>
          <w:lang w:eastAsia="ru-RU"/>
        </w:rPr>
        <w:t>має право</w:t>
      </w:r>
      <w:r w:rsidRPr="001C53C3">
        <w:rPr>
          <w:rFonts w:ascii="Times New Roman" w:eastAsia="Times New Roman" w:hAnsi="Times New Roman" w:cs="Times New Roman"/>
          <w:color w:val="auto"/>
          <w:sz w:val="24"/>
          <w:szCs w:val="24"/>
          <w:lang w:eastAsia="ru-RU"/>
        </w:rPr>
        <w:t xml:space="preserve"> </w:t>
      </w:r>
      <w:r w:rsidRPr="001C53C3">
        <w:rPr>
          <w:rFonts w:ascii="Times New Roman" w:eastAsia="Times New Roman" w:hAnsi="Times New Roman" w:cs="Times New Roman"/>
          <w:b/>
          <w:color w:val="auto"/>
          <w:sz w:val="24"/>
          <w:szCs w:val="24"/>
          <w:lang w:eastAsia="ru-RU"/>
        </w:rPr>
        <w:t>прийняти рішення про припинення діяльності відокремленого підрозділу</w:t>
      </w:r>
      <w:r w:rsidRPr="001C53C3">
        <w:rPr>
          <w:rFonts w:ascii="Times New Roman" w:eastAsia="Times New Roman" w:hAnsi="Times New Roman" w:cs="Times New Roman"/>
          <w:color w:val="auto"/>
          <w:sz w:val="24"/>
          <w:szCs w:val="24"/>
          <w:lang w:eastAsia="ru-RU"/>
        </w:rPr>
        <w:t>, якщо його діяльність не відповідає вимогам цього Закону та нормативно-правових актів Регулятора до приведення його діяльності у відповідність із такими вимогами.</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 xml:space="preserve">Проте положеннями законопроєкту не передбачено порядку прийняття такого рішення та строків його прийняття, що сприяє виникненню корупційних ризиків  та надає надмірні дискреційні повноваження Регулятору самостійно визначати порядок реалізації такого повноваження. </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З метою усунення цього недоліку вказане положення потребує доопрацювання.</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highlight w:val="white"/>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color w:val="auto"/>
          <w:sz w:val="24"/>
          <w:szCs w:val="24"/>
          <w:lang w:eastAsia="ru-RU"/>
        </w:rPr>
        <w:t>4</w:t>
      </w:r>
      <w:r w:rsidRPr="001C53C3">
        <w:rPr>
          <w:rFonts w:ascii="Times New Roman" w:eastAsia="Times New Roman" w:hAnsi="Times New Roman" w:cs="Times New Roman"/>
          <w:b/>
          <w:sz w:val="24"/>
          <w:szCs w:val="24"/>
          <w:lang w:eastAsia="ru-RU"/>
        </w:rPr>
        <w:t>. Неналежне регулювання підзаконними нормативно-правовими актами</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color w:val="auto"/>
          <w:sz w:val="24"/>
          <w:szCs w:val="24"/>
          <w:lang w:eastAsia="ru-RU"/>
        </w:rPr>
        <w:t>4</w:t>
      </w:r>
      <w:r w:rsidRPr="001C53C3">
        <w:rPr>
          <w:rFonts w:ascii="Times New Roman" w:eastAsia="Times New Roman" w:hAnsi="Times New Roman" w:cs="Times New Roman"/>
          <w:sz w:val="24"/>
          <w:szCs w:val="24"/>
          <w:lang w:eastAsia="ru-RU"/>
        </w:rPr>
        <w:t xml:space="preserve">.1. Пунктом 11 частини п’ятої статті 4 законопроєкту визначено, що кредитна спілка </w:t>
      </w:r>
      <w:r w:rsidRPr="001C53C3">
        <w:rPr>
          <w:rFonts w:ascii="Times New Roman" w:eastAsia="Times New Roman" w:hAnsi="Times New Roman" w:cs="Times New Roman"/>
          <w:b/>
          <w:sz w:val="24"/>
          <w:szCs w:val="24"/>
          <w:lang w:eastAsia="ru-RU"/>
        </w:rPr>
        <w:t>має право здійснювати іншу господарську діяльність</w:t>
      </w:r>
      <w:r w:rsidRPr="001C53C3">
        <w:rPr>
          <w:rFonts w:ascii="Times New Roman" w:eastAsia="Times New Roman" w:hAnsi="Times New Roman" w:cs="Times New Roman"/>
          <w:sz w:val="24"/>
          <w:szCs w:val="24"/>
          <w:lang w:eastAsia="ru-RU"/>
        </w:rPr>
        <w:t xml:space="preserve"> виключно за умови, що така діяльність пов’язана з основою діяльністю кредитної спілки з надання фінансових послуг або необхідна кредитній спілці для забезпечення більшої доступності фінансових послуг для її членів, а саме, зокрема, </w:t>
      </w:r>
      <w:r w:rsidRPr="001C53C3">
        <w:rPr>
          <w:rFonts w:ascii="Times New Roman" w:eastAsia="Times New Roman" w:hAnsi="Times New Roman" w:cs="Times New Roman"/>
          <w:b/>
          <w:sz w:val="24"/>
          <w:szCs w:val="24"/>
          <w:lang w:eastAsia="ru-RU"/>
        </w:rPr>
        <w:t>здійснювати іншу господарську діяльність, з урахуванням обмежень, встановлених нормативно-правовими актами Регулятора</w:t>
      </w:r>
      <w:r w:rsidRPr="001C53C3">
        <w:rPr>
          <w:rFonts w:ascii="Times New Roman" w:eastAsia="Times New Roman" w:hAnsi="Times New Roman" w:cs="Times New Roman"/>
          <w:sz w:val="24"/>
          <w:szCs w:val="24"/>
          <w:lang w:eastAsia="ru-RU"/>
        </w:rPr>
        <w:t>, за винятком діяльності у сфері матеріального виробництва і торгівлі.</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 xml:space="preserve">Проте у законопроєкті відсутні загальні орієнтири такого підзаконного регулювання, а саме загальні принципи до встановлення таких обмежень Регулятором. Крім того, вказане положення містить нечітке формулювання умов, за яких здійснюється обмеження права на здійснення такої “іншої господарської  діяльності”, що сприяє виникненню корупційних ризиків </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Таким чином, пункт 11 частини п’ятої статті 4 законопроєкту потребує доопрацювання.</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color w:val="auto"/>
          <w:sz w:val="24"/>
          <w:szCs w:val="24"/>
          <w:lang w:eastAsia="ru-RU"/>
        </w:rPr>
        <w:t>5</w:t>
      </w:r>
      <w:r w:rsidRPr="001C53C3">
        <w:rPr>
          <w:rFonts w:ascii="Times New Roman" w:eastAsia="Times New Roman" w:hAnsi="Times New Roman" w:cs="Times New Roman"/>
          <w:b/>
          <w:sz w:val="24"/>
          <w:szCs w:val="24"/>
          <w:lang w:eastAsia="ru-RU"/>
        </w:rPr>
        <w:t>. Надмірні обтяження чи штучні перешкоди для отримувачів адміністративних послуг, які виникають завдяки юридичній колізії.</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color w:val="auto"/>
          <w:sz w:val="24"/>
          <w:szCs w:val="24"/>
          <w:lang w:eastAsia="ru-RU"/>
        </w:rPr>
        <w:t>5</w:t>
      </w:r>
      <w:r w:rsidRPr="001C53C3">
        <w:rPr>
          <w:rFonts w:ascii="Times New Roman" w:eastAsia="Times New Roman" w:hAnsi="Times New Roman" w:cs="Times New Roman"/>
          <w:sz w:val="24"/>
          <w:szCs w:val="24"/>
          <w:lang w:eastAsia="ru-RU"/>
        </w:rPr>
        <w:t xml:space="preserve">.1. Пунктом другим частини другої статті 10 законопроєкту визначено, що одним з документів, які заявник подає Регулятору - НБУ разом із заявою про видачу ліцензії, є </w:t>
      </w:r>
      <w:r w:rsidRPr="001C53C3">
        <w:rPr>
          <w:rFonts w:ascii="Times New Roman" w:eastAsia="Times New Roman" w:hAnsi="Times New Roman" w:cs="Times New Roman"/>
          <w:b/>
          <w:sz w:val="24"/>
          <w:szCs w:val="24"/>
          <w:lang w:eastAsia="ru-RU"/>
        </w:rPr>
        <w:t>засвідчена в установленому порядку копія статуту заявника</w:t>
      </w:r>
      <w:r w:rsidRPr="001C53C3">
        <w:rPr>
          <w:rFonts w:ascii="Times New Roman" w:eastAsia="Times New Roman" w:hAnsi="Times New Roman" w:cs="Times New Roman"/>
          <w:sz w:val="24"/>
          <w:szCs w:val="24"/>
          <w:lang w:eastAsia="ru-RU"/>
        </w:rPr>
        <w:t xml:space="preserve"> або код доступу до результатів надання адміністративних послуг у сфері державної реєстрації, що надає доступ до копії статуту в електронній формі у Єдиному державному реєстрі. </w:t>
      </w: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sz w:val="24"/>
          <w:szCs w:val="24"/>
          <w:lang w:eastAsia="ru-RU"/>
        </w:rPr>
        <w:lastRenderedPageBreak/>
        <w:t xml:space="preserve">Проте, відповідно до частини сьомої та восьмої статті 9 Закону України «Про адміністративні послуги», </w:t>
      </w:r>
      <w:r w:rsidRPr="001C53C3">
        <w:rPr>
          <w:rFonts w:ascii="Times New Roman" w:eastAsia="Times New Roman" w:hAnsi="Times New Roman" w:cs="Times New Roman"/>
          <w:b/>
          <w:sz w:val="24"/>
          <w:szCs w:val="24"/>
          <w:lang w:eastAsia="ru-RU"/>
        </w:rPr>
        <w:t xml:space="preserve">суб’єкт надання адміністративної послуги не може вимагати від суб’єкта звернення документи або інформацію, що перебувають у володінні суб’єкта надання адміністративних послуг або у володінні державних органів, органів влади Автономної Республіки Крим, органів місцевого самоврядування, підприємств, установ або організацій, що належать до сфери їх управління. </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 xml:space="preserve">Суб’єкт надання адміністративної послуги отримує відповідні документи або інформацію без участі суб’єкта звернення на підставі поданих відомостей у заяві, у тому числі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через систему електронної взаємодії державних електронних інформаційних ресурсів. </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З 01 січня 2016 року норми Закону «</w:t>
      </w:r>
      <w:r w:rsidRPr="001C53C3">
        <w:rPr>
          <w:rFonts w:ascii="Times New Roman" w:eastAsia="Times New Roman" w:hAnsi="Times New Roman" w:cs="Times New Roman"/>
          <w:b/>
          <w:sz w:val="24"/>
          <w:szCs w:val="24"/>
          <w:highlight w:val="white"/>
          <w:lang w:eastAsia="ru-RU"/>
        </w:rPr>
        <w:t xml:space="preserve">Про державну реєстрацію юридичних осіб, фізичних осіб - підприємців та громадських формувань» </w:t>
      </w:r>
      <w:r w:rsidRPr="001C53C3">
        <w:rPr>
          <w:rFonts w:ascii="Times New Roman" w:eastAsia="Times New Roman" w:hAnsi="Times New Roman" w:cs="Times New Roman"/>
          <w:sz w:val="24"/>
          <w:szCs w:val="24"/>
          <w:lang w:eastAsia="ru-RU"/>
        </w:rPr>
        <w:t xml:space="preserve">не передбачають видачу за результатами проведення державної реєстрації установчих документів юридичної особи в паперовому вигляді. Результати надання адміністративних послуг у сфері державної реєстрації, у тому числі установчі документи, підлягають обов’язковому безоплатному оприлюдненню на порталі електронних сервісів (статті 12, 25 зазначеного вище Закону). </w:t>
      </w:r>
    </w:p>
    <w:p w:rsidR="001C53C3" w:rsidRPr="001C53C3" w:rsidRDefault="001C53C3" w:rsidP="001C53C3">
      <w:pPr>
        <w:spacing w:line="240" w:lineRule="auto"/>
        <w:ind w:firstLine="720"/>
        <w:jc w:val="both"/>
        <w:rPr>
          <w:rFonts w:ascii="Times New Roman" w:eastAsia="Times New Roman" w:hAnsi="Times New Roman" w:cs="Times New Roman"/>
          <w:i/>
          <w:sz w:val="24"/>
          <w:szCs w:val="24"/>
          <w:lang w:eastAsia="ru-RU"/>
        </w:rPr>
      </w:pPr>
      <w:r w:rsidRPr="001C53C3">
        <w:rPr>
          <w:rFonts w:ascii="Times New Roman" w:eastAsia="Times New Roman" w:hAnsi="Times New Roman" w:cs="Times New Roman"/>
          <w:sz w:val="24"/>
          <w:szCs w:val="24"/>
          <w:lang w:eastAsia="ru-RU"/>
        </w:rPr>
        <w:t xml:space="preserve">Вищевказане положення законопроєкту </w:t>
      </w:r>
      <w:r w:rsidRPr="001C53C3">
        <w:rPr>
          <w:rFonts w:ascii="Times New Roman" w:eastAsia="Times New Roman" w:hAnsi="Times New Roman" w:cs="Times New Roman"/>
          <w:color w:val="auto"/>
          <w:sz w:val="24"/>
          <w:szCs w:val="24"/>
          <w:lang w:eastAsia="ru-RU"/>
        </w:rPr>
        <w:t>створює</w:t>
      </w:r>
      <w:r w:rsidRPr="001C53C3">
        <w:rPr>
          <w:rFonts w:ascii="Times New Roman" w:eastAsia="Times New Roman" w:hAnsi="Times New Roman" w:cs="Times New Roman"/>
          <w:sz w:val="24"/>
          <w:szCs w:val="24"/>
          <w:lang w:eastAsia="ru-RU"/>
        </w:rPr>
        <w:t xml:space="preserve"> </w:t>
      </w:r>
      <w:r w:rsidRPr="001C53C3">
        <w:rPr>
          <w:rFonts w:ascii="Times New Roman" w:eastAsia="Times New Roman" w:hAnsi="Times New Roman" w:cs="Times New Roman"/>
          <w:color w:val="auto"/>
          <w:sz w:val="24"/>
          <w:szCs w:val="24"/>
          <w:lang w:eastAsia="ru-RU"/>
        </w:rPr>
        <w:t>штучні</w:t>
      </w:r>
      <w:r w:rsidRPr="001C53C3">
        <w:rPr>
          <w:rFonts w:ascii="Times New Roman" w:eastAsia="Times New Roman" w:hAnsi="Times New Roman" w:cs="Times New Roman"/>
          <w:sz w:val="24"/>
          <w:szCs w:val="24"/>
          <w:lang w:eastAsia="ru-RU"/>
        </w:rPr>
        <w:t xml:space="preserve"> обтяжен</w:t>
      </w:r>
      <w:r w:rsidRPr="001C53C3">
        <w:rPr>
          <w:rFonts w:ascii="Times New Roman" w:eastAsia="Times New Roman" w:hAnsi="Times New Roman" w:cs="Times New Roman"/>
          <w:color w:val="auto"/>
          <w:sz w:val="24"/>
          <w:szCs w:val="24"/>
          <w:lang w:eastAsia="ru-RU"/>
        </w:rPr>
        <w:t>ня</w:t>
      </w:r>
      <w:r w:rsidRPr="001C53C3">
        <w:rPr>
          <w:rFonts w:ascii="Times New Roman" w:eastAsia="Times New Roman" w:hAnsi="Times New Roman" w:cs="Times New Roman"/>
          <w:sz w:val="24"/>
          <w:szCs w:val="24"/>
          <w:lang w:eastAsia="ru-RU"/>
        </w:rPr>
        <w:t xml:space="preserve"> для отримувачів адміністративних послуг</w:t>
      </w:r>
      <w:r w:rsidRPr="001C53C3">
        <w:rPr>
          <w:rFonts w:ascii="Times New Roman" w:eastAsia="Times New Roman" w:hAnsi="Times New Roman" w:cs="Times New Roman"/>
          <w:color w:val="auto"/>
          <w:sz w:val="24"/>
          <w:szCs w:val="24"/>
          <w:lang w:eastAsia="ru-RU"/>
        </w:rPr>
        <w:t xml:space="preserve"> та можливості тиску на заявників.</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З метою усунення вказаного ризику пропонуємо виключити необхідність подання «засвідченої в установленому порядку копії статуту заявника», оскільки є можливість  отримувати зазначені копії статутів за допомогою власного доступу до відомостей Єдиного державного реєстру.</w:t>
      </w: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color w:val="auto"/>
          <w:sz w:val="24"/>
          <w:szCs w:val="24"/>
          <w:lang w:eastAsia="ru-RU"/>
        </w:rPr>
        <w:t>5</w:t>
      </w:r>
      <w:r w:rsidRPr="001C53C3">
        <w:rPr>
          <w:rFonts w:ascii="Times New Roman" w:eastAsia="Times New Roman" w:hAnsi="Times New Roman" w:cs="Times New Roman"/>
          <w:sz w:val="24"/>
          <w:szCs w:val="24"/>
          <w:lang w:eastAsia="ru-RU"/>
        </w:rPr>
        <w:t>.2. Частиною одинадцятою статті 20 законопроєкту визначено, що</w:t>
      </w:r>
      <w:r w:rsidRPr="001C53C3">
        <w:rPr>
          <w:rFonts w:ascii="Times New Roman" w:eastAsia="Times New Roman" w:hAnsi="Times New Roman" w:cs="Times New Roman"/>
          <w:i/>
          <w:sz w:val="24"/>
          <w:szCs w:val="24"/>
          <w:lang w:eastAsia="ru-RU"/>
        </w:rPr>
        <w:t xml:space="preserve"> </w:t>
      </w:r>
      <w:r w:rsidRPr="001C53C3">
        <w:rPr>
          <w:rFonts w:ascii="Times New Roman" w:eastAsia="Times New Roman" w:hAnsi="Times New Roman" w:cs="Times New Roman"/>
          <w:sz w:val="24"/>
          <w:szCs w:val="24"/>
          <w:lang w:eastAsia="ru-RU"/>
        </w:rPr>
        <w:t xml:space="preserve">матеріали, передбачені пунктом 4 цієї частини («матеріали, необхідні для прийняття рішень з питань порядку денного загальних зборів членів кредитної спілки»), розміщуються на власному веб-сайті кредитної спілки не пізніше ніж за 30 днів до дати проведення загальних зборів членів кредитної спілки, а для позачергових загальних зборів членів кредитної спілки - протягом 5 робочих днів з моменту прийняття рішення про їх проведення. </w:t>
      </w:r>
      <w:r w:rsidRPr="001C53C3">
        <w:rPr>
          <w:rFonts w:ascii="Times New Roman" w:eastAsia="Times New Roman" w:hAnsi="Times New Roman" w:cs="Times New Roman"/>
          <w:b/>
          <w:sz w:val="24"/>
          <w:szCs w:val="24"/>
          <w:lang w:eastAsia="ru-RU"/>
        </w:rPr>
        <w:t>Ненадання зазначеної інформації на власному веб-сайті кредитної спілки є порушенням процедури скликання загальних зборів членів кредитної спілки.</w:t>
      </w:r>
    </w:p>
    <w:p w:rsidR="001C53C3" w:rsidRPr="001C53C3" w:rsidRDefault="001C53C3" w:rsidP="001C53C3">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sz w:val="24"/>
          <w:szCs w:val="24"/>
          <w:lang w:eastAsia="ru-RU"/>
        </w:rPr>
        <w:t xml:space="preserve">Частиною десятою цієї ж статті законопроєкту визначено, що текст запрошення може бути опублікований також 1) </w:t>
      </w:r>
      <w:r w:rsidRPr="001C53C3">
        <w:rPr>
          <w:rFonts w:ascii="Times New Roman" w:eastAsia="Times New Roman" w:hAnsi="Times New Roman" w:cs="Times New Roman"/>
          <w:sz w:val="24"/>
          <w:szCs w:val="24"/>
          <w:u w:val="single"/>
          <w:lang w:eastAsia="ru-RU"/>
        </w:rPr>
        <w:t>на веб-сайтах</w:t>
      </w:r>
      <w:r w:rsidRPr="001C53C3">
        <w:rPr>
          <w:rFonts w:ascii="Times New Roman" w:eastAsia="Times New Roman" w:hAnsi="Times New Roman" w:cs="Times New Roman"/>
          <w:sz w:val="24"/>
          <w:szCs w:val="24"/>
          <w:lang w:eastAsia="ru-RU"/>
        </w:rPr>
        <w:t xml:space="preserve"> (сторінках) об’єднання кредитних спілок, членом якого є кредитна спілка; 2) </w:t>
      </w:r>
      <w:r w:rsidRPr="001C53C3">
        <w:rPr>
          <w:rFonts w:ascii="Times New Roman" w:eastAsia="Times New Roman" w:hAnsi="Times New Roman" w:cs="Times New Roman"/>
          <w:sz w:val="24"/>
          <w:szCs w:val="24"/>
          <w:u w:val="single"/>
          <w:lang w:eastAsia="ru-RU"/>
        </w:rPr>
        <w:t xml:space="preserve">у засобах масової інформації </w:t>
      </w:r>
      <w:r w:rsidRPr="001C53C3">
        <w:rPr>
          <w:rFonts w:ascii="Times New Roman" w:eastAsia="Times New Roman" w:hAnsi="Times New Roman" w:cs="Times New Roman"/>
          <w:sz w:val="24"/>
          <w:szCs w:val="24"/>
          <w:lang w:eastAsia="ru-RU"/>
        </w:rPr>
        <w:t xml:space="preserve">(за їх наявності) органів місцевого самоврядування адміністративно-територіальної одиниці (одиниць), яка (які) відповідає (відповідають) територіальній ознаці членства в кредитній спілці; 3) </w:t>
      </w:r>
      <w:r w:rsidRPr="001C53C3">
        <w:rPr>
          <w:rFonts w:ascii="Times New Roman" w:eastAsia="Times New Roman" w:hAnsi="Times New Roman" w:cs="Times New Roman"/>
          <w:sz w:val="24"/>
          <w:szCs w:val="24"/>
          <w:u w:val="single"/>
          <w:lang w:eastAsia="ru-RU"/>
        </w:rPr>
        <w:t>у інших джерелах інформації</w:t>
      </w:r>
      <w:r w:rsidRPr="001C53C3">
        <w:rPr>
          <w:rFonts w:ascii="Times New Roman" w:eastAsia="Times New Roman" w:hAnsi="Times New Roman" w:cs="Times New Roman"/>
          <w:sz w:val="24"/>
          <w:szCs w:val="24"/>
          <w:lang w:eastAsia="ru-RU"/>
        </w:rPr>
        <w:t xml:space="preserve">, передбачених статутом кредитної спілки та/або її внутрішніх документах. </w:t>
      </w:r>
      <w:r w:rsidRPr="001C53C3">
        <w:rPr>
          <w:rFonts w:ascii="Times New Roman" w:eastAsia="Times New Roman" w:hAnsi="Times New Roman" w:cs="Times New Roman"/>
          <w:b/>
          <w:color w:val="auto"/>
          <w:sz w:val="24"/>
          <w:szCs w:val="24"/>
          <w:lang w:eastAsia="ru-RU"/>
        </w:rPr>
        <w:t>О</w:t>
      </w:r>
      <w:r w:rsidRPr="001C53C3">
        <w:rPr>
          <w:rFonts w:ascii="Times New Roman" w:eastAsia="Times New Roman" w:hAnsi="Times New Roman" w:cs="Times New Roman"/>
          <w:b/>
          <w:sz w:val="24"/>
          <w:szCs w:val="24"/>
          <w:lang w:eastAsia="ru-RU"/>
        </w:rPr>
        <w:t>тже, законопроєктом надано можливість вибору щодо опублікування інформації й на інших джерелах.</w:t>
      </w:r>
    </w:p>
    <w:p w:rsidR="001C53C3" w:rsidRPr="001C53C3" w:rsidRDefault="001C53C3" w:rsidP="001C53C3">
      <w:pPr>
        <w:spacing w:line="240" w:lineRule="auto"/>
        <w:ind w:firstLine="720"/>
        <w:jc w:val="both"/>
        <w:rPr>
          <w:rFonts w:ascii="Times New Roman" w:eastAsia="Times New Roman" w:hAnsi="Times New Roman" w:cs="Times New Roman"/>
          <w:i/>
          <w:sz w:val="24"/>
          <w:szCs w:val="24"/>
          <w:lang w:eastAsia="ru-RU"/>
        </w:rPr>
      </w:pPr>
      <w:r w:rsidRPr="001C53C3">
        <w:rPr>
          <w:rFonts w:ascii="Times New Roman" w:eastAsia="Times New Roman" w:hAnsi="Times New Roman" w:cs="Times New Roman"/>
          <w:i/>
          <w:sz w:val="24"/>
          <w:szCs w:val="24"/>
          <w:lang w:eastAsia="ru-RU"/>
        </w:rPr>
        <w:t>Таким чином, існує суперечність між положеннями законопроєкту, яка потребує усунення.</w:t>
      </w:r>
    </w:p>
    <w:p w:rsidR="001C53C3" w:rsidRPr="001C53C3" w:rsidRDefault="001C53C3" w:rsidP="001C53C3">
      <w:pPr>
        <w:spacing w:line="240" w:lineRule="auto"/>
        <w:ind w:firstLine="720"/>
        <w:jc w:val="both"/>
        <w:rPr>
          <w:rFonts w:ascii="Times New Roman" w:eastAsia="Times New Roman" w:hAnsi="Times New Roman" w:cs="Times New Roman"/>
          <w:i/>
          <w:sz w:val="24"/>
          <w:szCs w:val="24"/>
          <w:lang w:eastAsia="ru-RU"/>
        </w:rPr>
      </w:pPr>
      <w:r w:rsidRPr="001C53C3">
        <w:rPr>
          <w:rFonts w:ascii="Times New Roman" w:eastAsia="Times New Roman" w:hAnsi="Times New Roman" w:cs="Times New Roman"/>
          <w:color w:val="auto"/>
          <w:sz w:val="24"/>
          <w:szCs w:val="24"/>
          <w:lang w:eastAsia="ru-RU"/>
        </w:rPr>
        <w:t>5</w:t>
      </w:r>
      <w:r w:rsidRPr="001C53C3">
        <w:rPr>
          <w:rFonts w:ascii="Times New Roman" w:eastAsia="Times New Roman" w:hAnsi="Times New Roman" w:cs="Times New Roman"/>
          <w:sz w:val="24"/>
          <w:szCs w:val="24"/>
          <w:lang w:eastAsia="ru-RU"/>
        </w:rPr>
        <w:t xml:space="preserve">.3. Частиною сьомою статті 32 законопроєкту визначено, що у разі подання Регулятору та/або оприлюднення недостовірної (неповної) фінансової звітності, а також недотримання порядку спростування такої звітності, голова правління кредитної спілки та головний бухгалтер кредитної спілки </w:t>
      </w:r>
      <w:r w:rsidRPr="001C53C3">
        <w:rPr>
          <w:rFonts w:ascii="Times New Roman" w:eastAsia="Times New Roman" w:hAnsi="Times New Roman" w:cs="Times New Roman"/>
          <w:i/>
          <w:sz w:val="24"/>
          <w:szCs w:val="24"/>
          <w:lang w:eastAsia="ru-RU"/>
        </w:rPr>
        <w:t xml:space="preserve">несуть відповідальність, </w:t>
      </w:r>
      <w:r w:rsidRPr="001C53C3">
        <w:rPr>
          <w:rFonts w:ascii="Times New Roman" w:eastAsia="Times New Roman" w:hAnsi="Times New Roman" w:cs="Times New Roman"/>
          <w:i/>
          <w:color w:val="auto"/>
          <w:sz w:val="24"/>
          <w:szCs w:val="24"/>
          <w:lang w:eastAsia="ru-RU"/>
        </w:rPr>
        <w:t>встановлену</w:t>
      </w:r>
      <w:r w:rsidRPr="001C53C3">
        <w:rPr>
          <w:rFonts w:ascii="Times New Roman" w:eastAsia="Times New Roman" w:hAnsi="Times New Roman" w:cs="Times New Roman"/>
          <w:i/>
          <w:sz w:val="24"/>
          <w:szCs w:val="24"/>
          <w:lang w:eastAsia="ru-RU"/>
        </w:rPr>
        <w:t xml:space="preserve"> законодавством України.</w:t>
      </w:r>
    </w:p>
    <w:p w:rsidR="001C53C3" w:rsidRPr="001C53C3" w:rsidRDefault="001C53C3" w:rsidP="001C53C3">
      <w:pPr>
        <w:spacing w:line="240" w:lineRule="auto"/>
        <w:ind w:firstLine="720"/>
        <w:jc w:val="both"/>
        <w:rPr>
          <w:rFonts w:ascii="Times New Roman" w:eastAsia="Times New Roman" w:hAnsi="Times New Roman" w:cs="Times New Roman"/>
          <w:sz w:val="24"/>
          <w:szCs w:val="24"/>
          <w:highlight w:val="white"/>
          <w:lang w:eastAsia="ru-RU"/>
        </w:rPr>
      </w:pPr>
      <w:r w:rsidRPr="001C53C3">
        <w:rPr>
          <w:rFonts w:ascii="Times New Roman" w:eastAsia="Times New Roman" w:hAnsi="Times New Roman" w:cs="Times New Roman"/>
          <w:sz w:val="24"/>
          <w:szCs w:val="24"/>
          <w:lang w:eastAsia="ru-RU"/>
        </w:rPr>
        <w:t xml:space="preserve">Проте, пунктом 22 </w:t>
      </w:r>
      <w:r w:rsidRPr="001C53C3">
        <w:rPr>
          <w:rFonts w:ascii="Times New Roman" w:eastAsia="Times New Roman" w:hAnsi="Times New Roman" w:cs="Times New Roman"/>
          <w:sz w:val="24"/>
          <w:szCs w:val="24"/>
          <w:highlight w:val="white"/>
          <w:lang w:eastAsia="ru-RU"/>
        </w:rPr>
        <w:t>статті 92 Конституції України встановлено, що виключно законами України визначаються засади цивільно-правової відповідальності; діяння, які є злочинами, адміністративними або дисциплінарними правопорушеннями, та відповідальність за них.</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color w:val="auto"/>
          <w:sz w:val="24"/>
          <w:szCs w:val="24"/>
          <w:highlight w:val="white"/>
          <w:lang w:eastAsia="ru-RU"/>
        </w:rPr>
        <w:lastRenderedPageBreak/>
        <w:t>З</w:t>
      </w:r>
      <w:r w:rsidRPr="001C53C3">
        <w:rPr>
          <w:rFonts w:ascii="Times New Roman" w:eastAsia="Times New Roman" w:hAnsi="Times New Roman" w:cs="Times New Roman"/>
          <w:sz w:val="24"/>
          <w:szCs w:val="24"/>
          <w:highlight w:val="white"/>
          <w:lang w:eastAsia="ru-RU"/>
        </w:rPr>
        <w:t xml:space="preserve"> метою усунення виявленої суперечності слово «законодавством» необхідно замінити на слово «законом».</w:t>
      </w:r>
    </w:p>
    <w:p w:rsidR="001C53C3" w:rsidRPr="001C53C3" w:rsidRDefault="001C53C3" w:rsidP="001C53C3">
      <w:pPr>
        <w:pBdr>
          <w:top w:val="nil"/>
          <w:left w:val="nil"/>
          <w:bottom w:val="nil"/>
          <w:right w:val="nil"/>
          <w:between w:val="nil"/>
        </w:pBdr>
        <w:spacing w:line="240" w:lineRule="auto"/>
        <w:ind w:firstLine="720"/>
        <w:jc w:val="both"/>
        <w:rPr>
          <w:rFonts w:ascii="Times New Roman" w:eastAsia="Times New Roman" w:hAnsi="Times New Roman" w:cs="Times New Roman"/>
          <w:b/>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b/>
          <w:sz w:val="24"/>
          <w:szCs w:val="24"/>
          <w:lang w:eastAsia="ru-RU"/>
        </w:rPr>
        <w:t>Інші зауваження</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 xml:space="preserve">1. У законопроєкті застосовуються поняття визначення того чи іншого строку, зокрема, у вигляді «календарних днів», «днів», «протягом шести місяців», «місяць». Враховуючи </w:t>
      </w:r>
      <w:proofErr w:type="spellStart"/>
      <w:r w:rsidRPr="001C53C3">
        <w:rPr>
          <w:rFonts w:ascii="Times New Roman" w:eastAsia="Times New Roman" w:hAnsi="Times New Roman" w:cs="Times New Roman"/>
          <w:sz w:val="24"/>
          <w:szCs w:val="24"/>
          <w:lang w:eastAsia="ru-RU"/>
        </w:rPr>
        <w:t>нормопроектувальну</w:t>
      </w:r>
      <w:proofErr w:type="spellEnd"/>
      <w:r w:rsidRPr="001C53C3">
        <w:rPr>
          <w:rFonts w:ascii="Times New Roman" w:eastAsia="Times New Roman" w:hAnsi="Times New Roman" w:cs="Times New Roman"/>
          <w:sz w:val="24"/>
          <w:szCs w:val="24"/>
          <w:lang w:eastAsia="ru-RU"/>
        </w:rPr>
        <w:t xml:space="preserve"> техніку пропонуємо визначити однаковий підхід до встановлення часових меж, наприклад, взяти за основу «робочі дні», що буде сприяти єдності термінології  (наприклад, підпункт а пункту 1 частини сьомої статті 9, частина перша статті 11, частина сімнадцята статті 20).</w:t>
      </w: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p>
    <w:p w:rsidR="001C53C3" w:rsidRPr="001C53C3" w:rsidRDefault="001C53C3" w:rsidP="001C53C3">
      <w:pPr>
        <w:spacing w:line="240" w:lineRule="auto"/>
        <w:ind w:firstLine="720"/>
        <w:jc w:val="both"/>
        <w:rPr>
          <w:rFonts w:ascii="Times New Roman" w:eastAsia="Times New Roman" w:hAnsi="Times New Roman" w:cs="Times New Roman"/>
          <w:color w:val="auto"/>
          <w:sz w:val="24"/>
          <w:szCs w:val="24"/>
          <w:highlight w:val="white"/>
          <w:lang w:eastAsia="ru-RU"/>
        </w:rPr>
      </w:pPr>
      <w:r w:rsidRPr="001C53C3">
        <w:rPr>
          <w:rFonts w:ascii="Times New Roman" w:eastAsia="Times New Roman" w:hAnsi="Times New Roman" w:cs="Times New Roman"/>
          <w:color w:val="auto"/>
          <w:sz w:val="24"/>
          <w:szCs w:val="24"/>
          <w:highlight w:val="white"/>
          <w:lang w:eastAsia="ru-RU"/>
        </w:rPr>
        <w:t>1.2.</w:t>
      </w:r>
      <w:r w:rsidRPr="001C53C3">
        <w:rPr>
          <w:rFonts w:ascii="Times New Roman" w:eastAsia="Times New Roman" w:hAnsi="Times New Roman" w:cs="Times New Roman"/>
          <w:b/>
          <w:color w:val="auto"/>
          <w:sz w:val="24"/>
          <w:szCs w:val="24"/>
          <w:highlight w:val="white"/>
          <w:lang w:eastAsia="ru-RU"/>
        </w:rPr>
        <w:t xml:space="preserve"> </w:t>
      </w:r>
      <w:r w:rsidRPr="001C53C3">
        <w:rPr>
          <w:rFonts w:ascii="Times New Roman" w:eastAsia="Times New Roman" w:hAnsi="Times New Roman" w:cs="Times New Roman"/>
          <w:color w:val="auto"/>
          <w:sz w:val="24"/>
          <w:szCs w:val="24"/>
          <w:highlight w:val="white"/>
          <w:lang w:eastAsia="ru-RU"/>
        </w:rPr>
        <w:t>У</w:t>
      </w:r>
      <w:r w:rsidRPr="001C53C3">
        <w:rPr>
          <w:rFonts w:ascii="Times New Roman" w:eastAsia="Times New Roman" w:hAnsi="Times New Roman" w:cs="Times New Roman"/>
          <w:b/>
          <w:color w:val="auto"/>
          <w:sz w:val="24"/>
          <w:szCs w:val="24"/>
          <w:highlight w:val="white"/>
          <w:lang w:eastAsia="ru-RU"/>
        </w:rPr>
        <w:t xml:space="preserve"> </w:t>
      </w:r>
      <w:r w:rsidRPr="001C53C3">
        <w:rPr>
          <w:rFonts w:ascii="Times New Roman" w:eastAsia="Times New Roman" w:hAnsi="Times New Roman" w:cs="Times New Roman"/>
          <w:color w:val="auto"/>
          <w:sz w:val="24"/>
          <w:szCs w:val="24"/>
          <w:highlight w:val="white"/>
          <w:lang w:eastAsia="ru-RU"/>
        </w:rPr>
        <w:t>законопроєкті використано таке поняття, як «</w:t>
      </w:r>
      <w:r w:rsidRPr="001C53C3">
        <w:rPr>
          <w:rFonts w:ascii="Times New Roman" w:eastAsia="Times New Roman" w:hAnsi="Times New Roman" w:cs="Times New Roman"/>
          <w:i/>
          <w:color w:val="auto"/>
          <w:sz w:val="24"/>
          <w:szCs w:val="24"/>
          <w:highlight w:val="white"/>
          <w:lang w:eastAsia="ru-RU"/>
        </w:rPr>
        <w:t>Інтернет-представництво Регулятора</w:t>
      </w:r>
      <w:r w:rsidRPr="001C53C3">
        <w:rPr>
          <w:rFonts w:ascii="Times New Roman" w:eastAsia="Times New Roman" w:hAnsi="Times New Roman" w:cs="Times New Roman"/>
          <w:color w:val="auto"/>
          <w:sz w:val="24"/>
          <w:szCs w:val="24"/>
          <w:highlight w:val="white"/>
          <w:lang w:eastAsia="ru-RU"/>
        </w:rPr>
        <w:t xml:space="preserve">». Водночас, положеннями законопроєкту не надано його визначення. З метою усунення цього недоліку пропонуємо надати визначення терміну «інтернет-представництво Регулятора», або використовувати поняття, яке вже визначене законодавством –  «веб – сайт Регулятора».  </w:t>
      </w:r>
    </w:p>
    <w:p w:rsidR="001C53C3" w:rsidRPr="001C53C3" w:rsidRDefault="001C53C3" w:rsidP="001C53C3">
      <w:pPr>
        <w:spacing w:line="240" w:lineRule="auto"/>
        <w:ind w:firstLine="720"/>
        <w:jc w:val="both"/>
        <w:rPr>
          <w:rFonts w:ascii="Times New Roman" w:eastAsia="Times New Roman" w:hAnsi="Times New Roman" w:cs="Times New Roman"/>
          <w:b/>
          <w:sz w:val="24"/>
          <w:szCs w:val="24"/>
          <w:lang w:eastAsia="ru-RU"/>
        </w:rPr>
      </w:pPr>
      <w:r w:rsidRPr="001C53C3">
        <w:rPr>
          <w:rFonts w:ascii="Times New Roman" w:eastAsia="Times New Roman" w:hAnsi="Times New Roman" w:cs="Times New Roman"/>
          <w:sz w:val="24"/>
          <w:szCs w:val="24"/>
          <w:lang w:eastAsia="ru-RU"/>
        </w:rPr>
        <w:t xml:space="preserve">3. Підпунктом 5 пункту 15 розділу ХІ «Прикінцеві та перехідні положення» законопроєкту, запропоновано внести зміни до Закону України «Про Національний банк України». Проте, відповідно до частини третьої статті 53 Закону України «Про Національний банк України», законодавче регулювання питань, пов'язаних з виконанням Національним банком своїх функцій, установлюється або змінюється виключно цим Законом. </w:t>
      </w:r>
      <w:r w:rsidRPr="001C53C3">
        <w:rPr>
          <w:rFonts w:ascii="Times New Roman" w:eastAsia="Times New Roman" w:hAnsi="Times New Roman" w:cs="Times New Roman"/>
          <w:b/>
          <w:sz w:val="24"/>
          <w:szCs w:val="24"/>
          <w:lang w:eastAsia="ru-RU"/>
        </w:rPr>
        <w:t>Зміна положень цього Закону може здійснюватися виключно шляхом внесення змін до цього Закону, а тому зазначені зміни потребують винесення в окремий законопроєкт.</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 xml:space="preserve">4. Пунктом 3 частини другої статті 37 законопроєкту визначено, що при здійсненні державного регулювання та нагляду за діяльністю кредитних спілок Регулятор  здійснює ліцензування кредитних спілок, визначає порядок видачі та анулювання ліцензії, </w:t>
      </w:r>
      <w:r w:rsidRPr="001C53C3">
        <w:rPr>
          <w:rFonts w:ascii="Times New Roman" w:eastAsia="Times New Roman" w:hAnsi="Times New Roman" w:cs="Times New Roman"/>
          <w:b/>
          <w:sz w:val="24"/>
          <w:szCs w:val="24"/>
          <w:lang w:eastAsia="ru-RU"/>
        </w:rPr>
        <w:t>зміни обсягу ліцензії,</w:t>
      </w:r>
      <w:r w:rsidRPr="001C53C3">
        <w:rPr>
          <w:rFonts w:ascii="Times New Roman" w:eastAsia="Times New Roman" w:hAnsi="Times New Roman" w:cs="Times New Roman"/>
          <w:sz w:val="24"/>
          <w:szCs w:val="24"/>
          <w:lang w:eastAsia="ru-RU"/>
        </w:rPr>
        <w:t xml:space="preserve"> затверджує умови провадження діяльності умови провадження діяльності кредитної спілки з надання фінансових послуг (ліцензійні умови) та порядок контролю за їх додержанням.</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Автори законопроєкту оперують поняттям «</w:t>
      </w:r>
      <w:r w:rsidRPr="001C53C3">
        <w:rPr>
          <w:rFonts w:ascii="Times New Roman" w:eastAsia="Times New Roman" w:hAnsi="Times New Roman" w:cs="Times New Roman"/>
          <w:i/>
          <w:sz w:val="24"/>
          <w:szCs w:val="24"/>
          <w:lang w:eastAsia="ru-RU"/>
        </w:rPr>
        <w:t xml:space="preserve">звуження та розширення обсягу ліцензії». </w:t>
      </w:r>
      <w:r w:rsidRPr="001C53C3">
        <w:rPr>
          <w:rFonts w:ascii="Times New Roman" w:eastAsia="Times New Roman" w:hAnsi="Times New Roman" w:cs="Times New Roman"/>
          <w:sz w:val="24"/>
          <w:szCs w:val="24"/>
          <w:lang w:eastAsia="ru-RU"/>
        </w:rPr>
        <w:t>Враховуючи, що вказаною статтею пропонується надання повноважень Регулятору, то необхідно уніфікувати термінологію, а саме положення викласти у такій редакції: «3) здійснює ліцензування кредитних спілок, визначає порядок видачі та анулювання ліцензії</w:t>
      </w:r>
      <w:r w:rsidRPr="001C53C3">
        <w:rPr>
          <w:rFonts w:ascii="Times New Roman" w:eastAsia="Times New Roman" w:hAnsi="Times New Roman" w:cs="Times New Roman"/>
          <w:sz w:val="24"/>
          <w:szCs w:val="24"/>
          <w:u w:val="single"/>
          <w:lang w:eastAsia="ru-RU"/>
        </w:rPr>
        <w:t xml:space="preserve">, </w:t>
      </w:r>
      <w:r w:rsidRPr="001C53C3">
        <w:rPr>
          <w:rFonts w:ascii="Times New Roman" w:eastAsia="Times New Roman" w:hAnsi="Times New Roman" w:cs="Times New Roman"/>
          <w:b/>
          <w:sz w:val="24"/>
          <w:szCs w:val="24"/>
          <w:u w:val="single"/>
          <w:lang w:eastAsia="ru-RU"/>
        </w:rPr>
        <w:t>звуження та розширення</w:t>
      </w:r>
      <w:r w:rsidRPr="001C53C3">
        <w:rPr>
          <w:rFonts w:ascii="Times New Roman" w:eastAsia="Times New Roman" w:hAnsi="Times New Roman" w:cs="Times New Roman"/>
          <w:b/>
          <w:sz w:val="24"/>
          <w:szCs w:val="24"/>
          <w:lang w:eastAsia="ru-RU"/>
        </w:rPr>
        <w:t xml:space="preserve"> обсягу ліцензії</w:t>
      </w:r>
      <w:r w:rsidRPr="001C53C3">
        <w:rPr>
          <w:rFonts w:ascii="Times New Roman" w:eastAsia="Times New Roman" w:hAnsi="Times New Roman" w:cs="Times New Roman"/>
          <w:sz w:val="24"/>
          <w:szCs w:val="24"/>
          <w:lang w:eastAsia="ru-RU"/>
        </w:rPr>
        <w:t>, затверджує умови провадження діяльності умови провадження діяльності кредитної спілки з надання фінансових послуг (ліцензійні умови) та порядок контролю за їх додержанням».</w:t>
      </w:r>
    </w:p>
    <w:p w:rsidR="001C53C3" w:rsidRPr="001C53C3" w:rsidRDefault="001C53C3" w:rsidP="001C53C3">
      <w:pPr>
        <w:spacing w:line="240" w:lineRule="auto"/>
        <w:ind w:firstLine="720"/>
        <w:jc w:val="both"/>
        <w:rPr>
          <w:rFonts w:ascii="Times New Roman" w:eastAsia="Times New Roman" w:hAnsi="Times New Roman" w:cs="Times New Roman"/>
          <w:sz w:val="24"/>
          <w:szCs w:val="24"/>
          <w:lang w:eastAsia="ru-RU"/>
        </w:rPr>
      </w:pPr>
      <w:r w:rsidRPr="001C53C3">
        <w:rPr>
          <w:rFonts w:ascii="Times New Roman" w:eastAsia="Times New Roman" w:hAnsi="Times New Roman" w:cs="Times New Roman"/>
          <w:sz w:val="24"/>
          <w:szCs w:val="24"/>
          <w:lang w:eastAsia="ru-RU"/>
        </w:rPr>
        <w:t xml:space="preserve"> </w:t>
      </w:r>
    </w:p>
    <w:p w:rsidR="001C53C3" w:rsidRPr="001C53C3" w:rsidRDefault="001C53C3" w:rsidP="001C53C3">
      <w:pPr>
        <w:spacing w:line="240" w:lineRule="auto"/>
        <w:ind w:firstLine="720"/>
        <w:jc w:val="both"/>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color w:val="auto"/>
          <w:sz w:val="24"/>
          <w:szCs w:val="24"/>
          <w:lang w:eastAsia="ru-RU"/>
        </w:rPr>
        <w:t>Довідка.</w:t>
      </w:r>
    </w:p>
    <w:p w:rsidR="00E519DF" w:rsidRPr="001C53C3" w:rsidRDefault="001C53C3" w:rsidP="001C53C3">
      <w:pPr>
        <w:spacing w:line="240" w:lineRule="auto"/>
        <w:ind w:firstLine="720"/>
        <w:jc w:val="both"/>
        <w:rPr>
          <w:rFonts w:ascii="Times New Roman" w:eastAsia="Times New Roman" w:hAnsi="Times New Roman" w:cs="Times New Roman"/>
          <w:color w:val="auto"/>
          <w:sz w:val="24"/>
          <w:szCs w:val="24"/>
          <w:lang w:eastAsia="ru-RU"/>
        </w:rPr>
      </w:pPr>
      <w:r w:rsidRPr="001C53C3">
        <w:rPr>
          <w:rFonts w:ascii="Times New Roman" w:eastAsia="Times New Roman" w:hAnsi="Times New Roman" w:cs="Times New Roman"/>
          <w:color w:val="auto"/>
          <w:sz w:val="24"/>
          <w:szCs w:val="24"/>
          <w:lang w:eastAsia="ru-RU"/>
        </w:rPr>
        <w:t>Законопроєкт містить посилання на Закон України «Про фінансові</w:t>
      </w:r>
      <w:r>
        <w:rPr>
          <w:rFonts w:ascii="Times New Roman" w:eastAsia="Times New Roman" w:hAnsi="Times New Roman" w:cs="Times New Roman"/>
          <w:color w:val="auto"/>
          <w:sz w:val="24"/>
          <w:szCs w:val="24"/>
          <w:lang w:eastAsia="ru-RU"/>
        </w:rPr>
        <w:t xml:space="preserve"> послуги та фінансові компанії» </w:t>
      </w:r>
      <w:r w:rsidRPr="001C53C3">
        <w:rPr>
          <w:rFonts w:ascii="Times New Roman" w:eastAsia="Times New Roman" w:hAnsi="Times New Roman" w:cs="Times New Roman"/>
          <w:color w:val="auto"/>
          <w:sz w:val="24"/>
          <w:szCs w:val="24"/>
          <w:lang w:eastAsia="ru-RU"/>
        </w:rPr>
        <w:t xml:space="preserve">У зв’язку з цим зазначаємо, </w:t>
      </w:r>
      <w:r w:rsidRPr="001C53C3">
        <w:rPr>
          <w:rFonts w:ascii="Times New Roman" w:eastAsia="Times New Roman" w:hAnsi="Times New Roman" w:cs="Times New Roman"/>
          <w:b/>
          <w:color w:val="auto"/>
          <w:sz w:val="24"/>
          <w:szCs w:val="24"/>
          <w:lang w:eastAsia="ru-RU"/>
        </w:rPr>
        <w:t xml:space="preserve">що проєкт Закону України «Про фінансові послуги та фінансові компанії», реєстр. № 5065 від 15 лютого 2021 року (далі </w:t>
      </w:r>
      <w:r>
        <w:rPr>
          <w:rFonts w:ascii="Times New Roman" w:eastAsia="Times New Roman" w:hAnsi="Times New Roman" w:cs="Times New Roman"/>
          <w:b/>
          <w:color w:val="auto"/>
          <w:sz w:val="24"/>
          <w:szCs w:val="24"/>
          <w:lang w:eastAsia="ru-RU"/>
        </w:rPr>
        <w:t>– проєкт Закону 5065) знаходи</w:t>
      </w:r>
      <w:r w:rsidRPr="001C53C3">
        <w:rPr>
          <w:rFonts w:ascii="Times New Roman" w:eastAsia="Times New Roman" w:hAnsi="Times New Roman" w:cs="Times New Roman"/>
          <w:b/>
          <w:color w:val="auto"/>
          <w:sz w:val="24"/>
          <w:szCs w:val="24"/>
          <w:lang w:eastAsia="ru-RU"/>
        </w:rPr>
        <w:t>ться на розгляді у</w:t>
      </w:r>
      <w:r>
        <w:rPr>
          <w:rFonts w:ascii="Times New Roman" w:eastAsia="Times New Roman" w:hAnsi="Times New Roman" w:cs="Times New Roman"/>
          <w:b/>
          <w:color w:val="auto"/>
          <w:sz w:val="24"/>
          <w:szCs w:val="24"/>
          <w:lang w:eastAsia="ru-RU"/>
        </w:rPr>
        <w:t xml:space="preserve"> Верховній Раді України. Вказаний Закон ще не прийнятий</w:t>
      </w:r>
      <w:r w:rsidRPr="001C53C3">
        <w:rPr>
          <w:rFonts w:ascii="Times New Roman" w:eastAsia="Times New Roman" w:hAnsi="Times New Roman" w:cs="Times New Roman"/>
          <w:b/>
          <w:color w:val="auto"/>
          <w:sz w:val="24"/>
          <w:szCs w:val="24"/>
          <w:lang w:eastAsia="ru-RU"/>
        </w:rPr>
        <w:t xml:space="preserve"> ВРУ</w:t>
      </w:r>
      <w:r>
        <w:rPr>
          <w:rFonts w:ascii="Times New Roman" w:eastAsia="Times New Roman" w:hAnsi="Times New Roman" w:cs="Times New Roman"/>
          <w:color w:val="auto"/>
          <w:sz w:val="24"/>
          <w:szCs w:val="24"/>
          <w:lang w:eastAsia="ru-RU"/>
        </w:rPr>
        <w:t xml:space="preserve">, а тому посилання на нього </w:t>
      </w:r>
      <w:r w:rsidRPr="001C53C3">
        <w:rPr>
          <w:rFonts w:ascii="Times New Roman" w:eastAsia="Times New Roman" w:hAnsi="Times New Roman" w:cs="Times New Roman"/>
          <w:color w:val="auto"/>
          <w:sz w:val="24"/>
          <w:szCs w:val="24"/>
          <w:lang w:eastAsia="ru-RU"/>
        </w:rPr>
        <w:t xml:space="preserve">суперечить </w:t>
      </w:r>
      <w:proofErr w:type="spellStart"/>
      <w:r w:rsidRPr="001C53C3">
        <w:rPr>
          <w:rFonts w:ascii="Times New Roman" w:eastAsia="Times New Roman" w:hAnsi="Times New Roman" w:cs="Times New Roman"/>
          <w:color w:val="auto"/>
          <w:sz w:val="24"/>
          <w:szCs w:val="24"/>
          <w:lang w:eastAsia="ru-RU"/>
        </w:rPr>
        <w:t>нормопроектній</w:t>
      </w:r>
      <w:proofErr w:type="spellEnd"/>
      <w:r w:rsidRPr="001C53C3">
        <w:rPr>
          <w:rFonts w:ascii="Times New Roman" w:eastAsia="Times New Roman" w:hAnsi="Times New Roman" w:cs="Times New Roman"/>
          <w:color w:val="auto"/>
          <w:sz w:val="24"/>
          <w:szCs w:val="24"/>
          <w:lang w:eastAsia="ru-RU"/>
        </w:rPr>
        <w:t xml:space="preserve"> техніці, оскільки відсутня об’єктив</w:t>
      </w:r>
      <w:r>
        <w:rPr>
          <w:rFonts w:ascii="Times New Roman" w:eastAsia="Times New Roman" w:hAnsi="Times New Roman" w:cs="Times New Roman"/>
          <w:color w:val="auto"/>
          <w:sz w:val="24"/>
          <w:szCs w:val="24"/>
          <w:lang w:eastAsia="ru-RU"/>
        </w:rPr>
        <w:t>на інформація щодо того, коли він буде прийнятий та чи буде прийнятий</w:t>
      </w:r>
      <w:r w:rsidRPr="001C53C3">
        <w:rPr>
          <w:rFonts w:ascii="Times New Roman" w:eastAsia="Times New Roman" w:hAnsi="Times New Roman" w:cs="Times New Roman"/>
          <w:color w:val="auto"/>
          <w:sz w:val="24"/>
          <w:szCs w:val="24"/>
          <w:lang w:eastAsia="ru-RU"/>
        </w:rPr>
        <w:t xml:space="preserve"> взагалі. </w:t>
      </w:r>
    </w:p>
    <w:sectPr w:rsidR="00E519DF" w:rsidRPr="001C53C3">
      <w:headerReference w:type="first" r:id="rId8"/>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B06" w:rsidRDefault="001B4B06">
      <w:pPr>
        <w:spacing w:line="240" w:lineRule="auto"/>
      </w:pPr>
      <w:r>
        <w:separator/>
      </w:r>
    </w:p>
  </w:endnote>
  <w:endnote w:type="continuationSeparator" w:id="0">
    <w:p w:rsidR="001B4B06" w:rsidRDefault="001B4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ntiqu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B06" w:rsidRDefault="001B4B06">
      <w:pPr>
        <w:spacing w:line="240" w:lineRule="auto"/>
      </w:pPr>
      <w:r>
        <w:separator/>
      </w:r>
    </w:p>
  </w:footnote>
  <w:footnote w:type="continuationSeparator" w:id="0">
    <w:p w:rsidR="001B4B06" w:rsidRDefault="001B4B06">
      <w:pPr>
        <w:spacing w:line="240" w:lineRule="auto"/>
      </w:pPr>
      <w:r>
        <w:continuationSeparator/>
      </w:r>
    </w:p>
  </w:footnote>
  <w:footnote w:id="1">
    <w:p w:rsidR="00E519DF" w:rsidRDefault="00D84268">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 w:id="2">
    <w:p w:rsidR="001C53C3" w:rsidRDefault="001C53C3" w:rsidP="001C53C3">
      <w:pPr>
        <w:spacing w:line="240" w:lineRule="auto"/>
        <w:rPr>
          <w:sz w:val="20"/>
          <w:szCs w:val="20"/>
        </w:rPr>
      </w:pPr>
      <w:r>
        <w:rPr>
          <w:vertAlign w:val="superscript"/>
        </w:rPr>
        <w:footnoteRef/>
      </w:r>
      <w:r>
        <w:rPr>
          <w:sz w:val="20"/>
          <w:szCs w:val="20"/>
        </w:rPr>
        <w:t xml:space="preserve"> https://rge9.izi.institute/conclusion/proyekt-zakonu-pro-kredytni-spilky/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9DF" w:rsidRDefault="00E519DF">
    <w:pPr>
      <w:widowControl w:val="0"/>
      <w:pBdr>
        <w:top w:val="nil"/>
        <w:left w:val="nil"/>
        <w:bottom w:val="nil"/>
        <w:right w:val="nil"/>
        <w:between w:val="nil"/>
      </w:pBdr>
      <w:rPr>
        <w:sz w:val="20"/>
        <w:szCs w:val="20"/>
      </w:rPr>
    </w:pPr>
  </w:p>
  <w:tbl>
    <w:tblPr>
      <w:tblStyle w:val="afc"/>
      <w:tblW w:w="971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7"/>
      <w:gridCol w:w="3623"/>
      <w:gridCol w:w="3119"/>
    </w:tblGrid>
    <w:tr w:rsidR="00E519DF">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D84268">
          <w:pPr>
            <w:spacing w:before="120"/>
            <w:rPr>
              <w:rFonts w:ascii="Cambria" w:eastAsia="Cambria" w:hAnsi="Cambria" w:cs="Cambria"/>
              <w:b/>
              <w:color w:val="333399"/>
            </w:rPr>
          </w:pPr>
          <w:r>
            <w:rPr>
              <w:rFonts w:ascii="Cambria" w:eastAsia="Cambria" w:hAnsi="Cambria" w:cs="Cambria"/>
              <w:b/>
              <w:color w:val="333399"/>
            </w:rPr>
            <w:t xml:space="preserve">               </w:t>
          </w:r>
        </w:p>
        <w:p w:rsidR="00E519DF" w:rsidRDefault="00D84268">
          <w:pPr>
            <w:spacing w:before="120"/>
            <w:jc w:val="center"/>
            <w:rPr>
              <w:rFonts w:ascii="Times New Roman" w:eastAsia="Times New Roman" w:hAnsi="Times New Roman" w:cs="Times New Roman"/>
              <w:color w:val="020000"/>
              <w:sz w:val="24"/>
              <w:szCs w:val="24"/>
            </w:rPr>
          </w:pPr>
          <w:r>
            <w:rPr>
              <w:rFonts w:ascii="Times New Roman" w:eastAsia="Times New Roman" w:hAnsi="Times New Roman" w:cs="Times New Roman"/>
              <w:b/>
              <w:color w:val="020000"/>
              <w:sz w:val="24"/>
              <w:szCs w:val="24"/>
            </w:rPr>
            <w:t>Аналітичний центр «Інститут законодавчих ідей»</w:t>
          </w:r>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office@izi.institute</w:t>
          </w:r>
          <w:proofErr w:type="spellEnd"/>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E519DF" w:rsidRDefault="00D84268">
          <w:pPr>
            <w:jc w:val="center"/>
          </w:pPr>
          <w:r>
            <w:rPr>
              <w:rFonts w:ascii="Times New Roman" w:eastAsia="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D84268">
          <w:pPr>
            <w:ind w:left="-367"/>
            <w:jc w:val="center"/>
          </w:pPr>
          <w:r>
            <w:rPr>
              <w:noProof/>
              <w:lang w:val="ru-RU" w:eastAsia="ru-RU"/>
            </w:rPr>
            <w:drawing>
              <wp:inline distT="0" distB="0" distL="0" distR="0">
                <wp:extent cx="2717775" cy="1723104"/>
                <wp:effectExtent l="0" t="0" r="0" b="0"/>
                <wp:docPr id="1" name="image1.png" descr="https://lh4.googleusercontent.com/nHCGlOQUBpGGAuU0DR6FkV93l3lZype4aJ8lutZUfixscQK4kpgo4sjsfJRnGCSz74YN14VuwED1DKM8J0kbj2PmK6rQbU-_ofQlJRM08iQMINiHIN7W2RI3pZhzQeR8irWCLJ-t"/>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nHCGlOQUBpGGAuU0DR6FkV93l3lZype4aJ8lutZUfixscQK4kpgo4sjsfJRnGCSz74YN14VuwED1DKM8J0kbj2PmK6rQbU-_ofQlJRM08iQMINiHIN7W2RI3pZhzQeR8irWCLJ-t"/>
                        <pic:cNvPicPr preferRelativeResize="0"/>
                      </pic:nvPicPr>
                      <pic:blipFill>
                        <a:blip r:embed="rId1"/>
                        <a:srcRect/>
                        <a:stretch>
                          <a:fillRect/>
                        </a:stretch>
                      </pic:blipFill>
                      <pic:spPr>
                        <a:xfrm>
                          <a:off x="0" y="0"/>
                          <a:ext cx="2717775" cy="1723104"/>
                        </a:xfrm>
                        <a:prstGeom prst="rect">
                          <a:avLst/>
                        </a:prstGeom>
                        <a:ln/>
                      </pic:spPr>
                    </pic:pic>
                  </a:graphicData>
                </a:graphic>
              </wp:inline>
            </w:drawing>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E519DF">
          <w:pPr>
            <w:spacing w:before="120"/>
            <w:rPr>
              <w:rFonts w:ascii="Cambria" w:eastAsia="Cambria" w:hAnsi="Cambria" w:cs="Cambria"/>
              <w:b/>
              <w:color w:val="FF0000"/>
            </w:rPr>
          </w:pPr>
        </w:p>
        <w:p w:rsidR="00E519DF" w:rsidRDefault="00D84268">
          <w:pPr>
            <w:spacing w:before="120"/>
            <w:jc w:val="center"/>
            <w:rPr>
              <w:rFonts w:ascii="Times New Roman" w:eastAsia="Times New Roman" w:hAnsi="Times New Roman" w:cs="Times New Roman"/>
              <w:b/>
              <w:color w:val="060606"/>
              <w:sz w:val="24"/>
              <w:szCs w:val="24"/>
            </w:rPr>
          </w:pPr>
          <w:proofErr w:type="spellStart"/>
          <w:r>
            <w:rPr>
              <w:rFonts w:ascii="Times New Roman" w:eastAsia="Times New Roman" w:hAnsi="Times New Roman" w:cs="Times New Roman"/>
              <w:b/>
              <w:color w:val="060606"/>
              <w:sz w:val="24"/>
              <w:szCs w:val="24"/>
            </w:rPr>
            <w:t>Think</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tank</w:t>
          </w:r>
          <w:proofErr w:type="spellEnd"/>
        </w:p>
        <w:p w:rsidR="00E519DF" w:rsidRDefault="00D84268">
          <w:pPr>
            <w:jc w:val="center"/>
            <w:rPr>
              <w:rFonts w:ascii="Times New Roman" w:eastAsia="Times New Roman" w:hAnsi="Times New Roman" w:cs="Times New Roman"/>
              <w:b/>
              <w:color w:val="060606"/>
              <w:sz w:val="24"/>
              <w:szCs w:val="24"/>
            </w:rPr>
          </w:pPr>
          <w:r>
            <w:rPr>
              <w:rFonts w:ascii="Times New Roman" w:eastAsia="Times New Roman" w:hAnsi="Times New Roman" w:cs="Times New Roman"/>
              <w:b/>
              <w:color w:val="060606"/>
              <w:sz w:val="24"/>
              <w:szCs w:val="24"/>
            </w:rPr>
            <w:t>«</w:t>
          </w:r>
          <w:proofErr w:type="spellStart"/>
          <w:r>
            <w:rPr>
              <w:rFonts w:ascii="Times New Roman" w:eastAsia="Times New Roman" w:hAnsi="Times New Roman" w:cs="Times New Roman"/>
              <w:b/>
              <w:color w:val="060606"/>
              <w:sz w:val="24"/>
              <w:szCs w:val="24"/>
            </w:rPr>
            <w:t>Institute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of</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legislative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ideas</w:t>
          </w:r>
          <w:proofErr w:type="spellEnd"/>
          <w:r>
            <w:rPr>
              <w:rFonts w:ascii="Times New Roman" w:eastAsia="Times New Roman" w:hAnsi="Times New Roman" w:cs="Times New Roman"/>
              <w:b/>
              <w:color w:val="060606"/>
              <w:sz w:val="24"/>
              <w:szCs w:val="24"/>
            </w:rPr>
            <w:t>»</w:t>
          </w:r>
        </w:p>
        <w:p w:rsidR="00E519DF" w:rsidRDefault="00D84268">
          <w:pPr>
            <w:jc w:val="center"/>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office@izi.institute</w:t>
          </w:r>
          <w:proofErr w:type="spellEnd"/>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E519DF" w:rsidRDefault="00D84268">
          <w:pPr>
            <w:jc w:val="center"/>
          </w:pPr>
          <w:r>
            <w:rPr>
              <w:rFonts w:ascii="Times New Roman" w:eastAsia="Times New Roman" w:hAnsi="Times New Roman" w:cs="Times New Roman"/>
              <w:sz w:val="24"/>
              <w:szCs w:val="24"/>
            </w:rPr>
            <w:t>+38 (063) 763-85-09</w:t>
          </w:r>
        </w:p>
      </w:tc>
    </w:tr>
  </w:tbl>
  <w:p w:rsidR="00E519DF" w:rsidRDefault="00E519DF">
    <w:pPr>
      <w:pBdr>
        <w:top w:val="nil"/>
        <w:left w:val="nil"/>
        <w:bottom w:val="nil"/>
        <w:right w:val="nil"/>
        <w:between w:val="nil"/>
      </w:pBdr>
      <w:tabs>
        <w:tab w:val="center" w:pos="4677"/>
        <w:tab w:val="right" w:pos="935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37BE"/>
    <w:multiLevelType w:val="multilevel"/>
    <w:tmpl w:val="3FE0D73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53440E66"/>
    <w:multiLevelType w:val="multilevel"/>
    <w:tmpl w:val="04D854E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DCC37FD"/>
    <w:multiLevelType w:val="multilevel"/>
    <w:tmpl w:val="413C0D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E5F3814"/>
    <w:multiLevelType w:val="multilevel"/>
    <w:tmpl w:val="29E6A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9DF"/>
    <w:rsid w:val="00066F20"/>
    <w:rsid w:val="001345AC"/>
    <w:rsid w:val="001B4B06"/>
    <w:rsid w:val="001C53C3"/>
    <w:rsid w:val="002A1643"/>
    <w:rsid w:val="003C52C7"/>
    <w:rsid w:val="00B139BF"/>
    <w:rsid w:val="00B93EDF"/>
    <w:rsid w:val="00D16969"/>
    <w:rsid w:val="00D70786"/>
    <w:rsid w:val="00D84268"/>
    <w:rsid w:val="00E5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AD709-16B5-45C7-BCD7-41B552A0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rPr>
      <w:color w:val="000000"/>
      <w:lang w:eastAsia="uk-UA"/>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4">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5">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6">
    <w:name w:val="Body Text"/>
    <w:basedOn w:val="a"/>
    <w:link w:val="a7"/>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7">
    <w:name w:val="Основной текст Знак"/>
    <w:link w:val="a6"/>
    <w:uiPriority w:val="99"/>
    <w:rsid w:val="00E65F55"/>
    <w:rPr>
      <w:rFonts w:ascii="Times New Roman" w:eastAsia="SimSun" w:hAnsi="Times New Roman" w:cs="Mangal"/>
      <w:kern w:val="1"/>
      <w:sz w:val="24"/>
      <w:szCs w:val="24"/>
      <w:lang w:eastAsia="hi-IN" w:bidi="hi-IN"/>
    </w:rPr>
  </w:style>
  <w:style w:type="paragraph" w:styleId="a8">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0">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9">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uiPriority w:val="99"/>
    <w:rsid w:val="00951AC8"/>
  </w:style>
  <w:style w:type="paragraph" w:styleId="HTML">
    <w:name w:val="HTML Preformatted"/>
    <w:basedOn w:val="a"/>
    <w:link w:val="HTML0"/>
    <w:uiPriority w:val="99"/>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link w:val="HTML"/>
    <w:uiPriority w:val="99"/>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a">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b">
    <w:name w:val="Balloon Text"/>
    <w:basedOn w:val="a"/>
    <w:link w:val="ac"/>
    <w:uiPriority w:val="99"/>
    <w:semiHidden/>
    <w:unhideWhenUsed/>
    <w:rsid w:val="00142AA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2AAE"/>
    <w:rPr>
      <w:rFonts w:ascii="Tahoma" w:eastAsia="Arial" w:hAnsi="Tahoma" w:cs="Tahoma"/>
      <w:color w:val="000000"/>
      <w:sz w:val="16"/>
      <w:szCs w:val="16"/>
      <w:lang w:val="uk-UA" w:eastAsia="uk-UA"/>
    </w:rPr>
  </w:style>
  <w:style w:type="paragraph" w:styleId="ad">
    <w:name w:val="header"/>
    <w:basedOn w:val="a"/>
    <w:link w:val="ae"/>
    <w:uiPriority w:val="99"/>
    <w:unhideWhenUsed/>
    <w:rsid w:val="00D41345"/>
    <w:pPr>
      <w:tabs>
        <w:tab w:val="center" w:pos="4677"/>
        <w:tab w:val="right" w:pos="9355"/>
      </w:tabs>
      <w:spacing w:line="240" w:lineRule="auto"/>
    </w:pPr>
  </w:style>
  <w:style w:type="character" w:customStyle="1" w:styleId="ae">
    <w:name w:val="Верхний колонтитул Знак"/>
    <w:basedOn w:val="a0"/>
    <w:link w:val="ad"/>
    <w:uiPriority w:val="99"/>
    <w:rsid w:val="00D41345"/>
    <w:rPr>
      <w:rFonts w:ascii="Arial" w:eastAsia="Arial" w:hAnsi="Arial" w:cs="Arial"/>
      <w:color w:val="000000"/>
      <w:sz w:val="22"/>
      <w:lang w:val="uk-UA" w:eastAsia="uk-UA"/>
    </w:rPr>
  </w:style>
  <w:style w:type="paragraph" w:styleId="af">
    <w:name w:val="footer"/>
    <w:basedOn w:val="a"/>
    <w:link w:val="af0"/>
    <w:uiPriority w:val="99"/>
    <w:unhideWhenUsed/>
    <w:rsid w:val="00D41345"/>
    <w:pPr>
      <w:tabs>
        <w:tab w:val="center" w:pos="4677"/>
        <w:tab w:val="right" w:pos="9355"/>
      </w:tabs>
      <w:spacing w:line="240" w:lineRule="auto"/>
    </w:pPr>
  </w:style>
  <w:style w:type="character" w:customStyle="1" w:styleId="af0">
    <w:name w:val="Нижний колонтитул Знак"/>
    <w:basedOn w:val="a0"/>
    <w:link w:val="af"/>
    <w:uiPriority w:val="99"/>
    <w:rsid w:val="00D41345"/>
    <w:rPr>
      <w:rFonts w:ascii="Arial" w:eastAsia="Arial" w:hAnsi="Arial" w:cs="Arial"/>
      <w:color w:val="000000"/>
      <w:sz w:val="22"/>
      <w:lang w:val="uk-UA" w:eastAsia="uk-UA"/>
    </w:rPr>
  </w:style>
  <w:style w:type="paragraph" w:styleId="af1">
    <w:name w:val="footnote text"/>
    <w:basedOn w:val="a"/>
    <w:link w:val="af2"/>
    <w:uiPriority w:val="99"/>
    <w:semiHidden/>
    <w:unhideWhenUsed/>
    <w:rsid w:val="006C00B6"/>
    <w:pPr>
      <w:spacing w:line="240" w:lineRule="auto"/>
    </w:pPr>
    <w:rPr>
      <w:sz w:val="20"/>
    </w:rPr>
  </w:style>
  <w:style w:type="character" w:customStyle="1" w:styleId="af2">
    <w:name w:val="Текст сноски Знак"/>
    <w:basedOn w:val="a0"/>
    <w:link w:val="af1"/>
    <w:uiPriority w:val="99"/>
    <w:semiHidden/>
    <w:rsid w:val="006C00B6"/>
    <w:rPr>
      <w:rFonts w:ascii="Arial" w:eastAsia="Arial" w:hAnsi="Arial" w:cs="Arial"/>
      <w:color w:val="000000"/>
      <w:lang w:val="uk-UA" w:eastAsia="uk-UA"/>
    </w:rPr>
  </w:style>
  <w:style w:type="character" w:styleId="af3">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textAlignment w:val="baseline"/>
    </w:pPr>
    <w:rPr>
      <w:color w:val="000000"/>
      <w:kern w:val="3"/>
      <w:lang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1">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2">
    <w:name w:val="Абзац списка1"/>
    <w:basedOn w:val="a"/>
    <w:rsid w:val="002B4E6A"/>
    <w:pPr>
      <w:spacing w:after="160" w:line="259" w:lineRule="auto"/>
      <w:ind w:left="720"/>
    </w:pPr>
    <w:rPr>
      <w:rFonts w:ascii="Calibri" w:eastAsia="Times New Roman" w:hAnsi="Calibri" w:cs="Times New Roman"/>
      <w:color w:val="auto"/>
      <w:lang w:eastAsia="en-US"/>
    </w:rPr>
  </w:style>
  <w:style w:type="character" w:customStyle="1" w:styleId="s3">
    <w:name w:val="s3"/>
    <w:rsid w:val="00E878C7"/>
    <w:rPr>
      <w:rFonts w:cs="Times New Roman"/>
    </w:rPr>
  </w:style>
  <w:style w:type="paragraph" w:styleId="af4">
    <w:name w:val="Body Text Indent"/>
    <w:basedOn w:val="a"/>
    <w:link w:val="af5"/>
    <w:uiPriority w:val="99"/>
    <w:semiHidden/>
    <w:unhideWhenUsed/>
    <w:rsid w:val="002B100F"/>
    <w:pPr>
      <w:spacing w:after="120"/>
      <w:ind w:left="283"/>
    </w:pPr>
  </w:style>
  <w:style w:type="character" w:customStyle="1" w:styleId="af5">
    <w:name w:val="Основной текст с отступом Знак"/>
    <w:basedOn w:val="a0"/>
    <w:link w:val="af4"/>
    <w:uiPriority w:val="99"/>
    <w:semiHidden/>
    <w:rsid w:val="002B100F"/>
    <w:rPr>
      <w:rFonts w:ascii="Arial" w:eastAsia="Arial" w:hAnsi="Arial" w:cs="Arial"/>
      <w:color w:val="000000"/>
      <w:sz w:val="22"/>
      <w:lang w:val="uk-UA" w:eastAsia="uk-UA"/>
    </w:rPr>
  </w:style>
  <w:style w:type="paragraph" w:customStyle="1" w:styleId="13">
    <w:name w:val="Обычный1"/>
    <w:uiPriority w:val="99"/>
    <w:rsid w:val="00924B3B"/>
    <w:pPr>
      <w:spacing w:after="200"/>
    </w:pPr>
    <w:rPr>
      <w:rFonts w:eastAsia="Times New Roman" w:cs="Calibri"/>
      <w:lang w:eastAsia="uk-UA"/>
    </w:rPr>
  </w:style>
  <w:style w:type="paragraph" w:styleId="af6">
    <w:name w:val="endnote text"/>
    <w:basedOn w:val="a"/>
    <w:link w:val="af7"/>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7">
    <w:name w:val="Текст концевой сноски Знак"/>
    <w:basedOn w:val="a0"/>
    <w:link w:val="af6"/>
    <w:uiPriority w:val="99"/>
    <w:semiHidden/>
    <w:rsid w:val="00614D8B"/>
    <w:rPr>
      <w:lang w:eastAsia="en-US"/>
    </w:rPr>
  </w:style>
  <w:style w:type="character" w:styleId="af8">
    <w:name w:val="endnote reference"/>
    <w:basedOn w:val="a0"/>
    <w:uiPriority w:val="99"/>
    <w:semiHidden/>
    <w:unhideWhenUsed/>
    <w:rsid w:val="00614D8B"/>
    <w:rPr>
      <w:vertAlign w:val="superscript"/>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zlA0fV3HlgzAiv0G6jnepIVCw==">AMUW2mUtNgQUXntkOQa5KwFRVdufmY3pPBEMy1HizpkXHaqFf/hi/6HRtfpkejh6mut+lH7WBAgM+IEaMbqpWOw5DrE/0kTmskzACBUUQR7o0scRKZboLQpy2e2ChlPJFB26DlNHAvhZ9XnAUSYm1kIHpiJAdeziDg==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2869</Words>
  <Characters>16359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7</cp:revision>
  <dcterms:created xsi:type="dcterms:W3CDTF">2021-11-18T10:14:00Z</dcterms:created>
  <dcterms:modified xsi:type="dcterms:W3CDTF">2022-02-15T16:14:00Z</dcterms:modified>
</cp:coreProperties>
</file>