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50BF1" w:rsidRPr="00F50BF1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F1" w:rsidRPr="00F50BF1" w:rsidRDefault="00F50BF1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50BF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F1" w:rsidRPr="00C70ACD" w:rsidRDefault="00EC2928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7</w:t>
            </w:r>
            <w:r w:rsidR="002A1D69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425</w:t>
            </w:r>
          </w:p>
        </w:tc>
      </w:tr>
    </w:tbl>
    <w:p w:rsidR="0053184F" w:rsidRPr="0053184F" w:rsidRDefault="0053184F" w:rsidP="0053184F">
      <w:pPr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53184F">
        <w:rPr>
          <w:rFonts w:ascii="Times New Roman" w:eastAsia="Arial" w:hAnsi="Times New Roman" w:cs="Times New Roman"/>
          <w:b/>
          <w:position w:val="0"/>
          <w:sz w:val="24"/>
          <w:szCs w:val="24"/>
        </w:rPr>
        <w:t>Аналітична довідка</w:t>
      </w:r>
    </w:p>
    <w:p w:rsidR="00F50BF1" w:rsidRPr="00F50BF1" w:rsidRDefault="0019514C" w:rsidP="0053184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position w:val="0"/>
          <w:sz w:val="24"/>
          <w:szCs w:val="24"/>
        </w:rPr>
        <w:t xml:space="preserve">щодо </w:t>
      </w:r>
      <w:r w:rsidR="00FE55D3">
        <w:rPr>
          <w:rFonts w:ascii="Times New Roman" w:eastAsia="Arial" w:hAnsi="Times New Roman" w:cs="Times New Roman"/>
          <w:b/>
          <w:position w:val="0"/>
          <w:sz w:val="24"/>
          <w:szCs w:val="24"/>
        </w:rPr>
        <w:t>Закону</w:t>
      </w:r>
    </w:p>
    <w:tbl>
      <w:tblPr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5F01A1" w:rsidRPr="005F01A1" w:rsidTr="00A05648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Назва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акта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2A1D69" w:rsidP="0058134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Про</w:t>
            </w:r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внесення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змін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до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деяких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законодавчих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актів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України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щодо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криміналізації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правопорушень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у сферах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формування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застосування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цін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і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тарифів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на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соціальнозначущі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товари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збуту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продукції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що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має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ознаки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товару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військового</w:t>
            </w:r>
            <w:proofErr w:type="spellEnd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призначення</w:t>
            </w:r>
            <w:proofErr w:type="spellEnd"/>
          </w:p>
        </w:tc>
      </w:tr>
      <w:tr w:rsidR="005F01A1" w:rsidRPr="005F01A1" w:rsidTr="00A05648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Дата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реєстрації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2A1D69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01.06</w:t>
            </w:r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.2022</w:t>
            </w:r>
          </w:p>
        </w:tc>
      </w:tr>
      <w:tr w:rsidR="005F01A1" w:rsidRPr="005F01A1" w:rsidTr="00A05648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Суб’єкт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права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законодавчої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ініціативи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CD" w:rsidRPr="00C70ACD" w:rsidRDefault="00EC2928" w:rsidP="00C70ACD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Народн</w:t>
            </w:r>
            <w:r w:rsid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ий</w:t>
            </w:r>
            <w:proofErr w:type="spellEnd"/>
            <w:r w:rsidR="00C70AC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депутат </w:t>
            </w:r>
            <w:proofErr w:type="spellStart"/>
            <w:r w:rsidR="00C70AC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України</w:t>
            </w:r>
            <w:proofErr w:type="spellEnd"/>
          </w:p>
          <w:p w:rsidR="005F01A1" w:rsidRPr="005F01A1" w:rsidRDefault="002A1D69" w:rsidP="00FE55D3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 </w:t>
            </w:r>
            <w:proofErr w:type="spellStart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Кузьміних</w:t>
            </w:r>
            <w:proofErr w:type="spellEnd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</w:t>
            </w:r>
            <w:proofErr w:type="spellEnd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Володимирович</w:t>
            </w:r>
            <w:proofErr w:type="spellEnd"/>
          </w:p>
        </w:tc>
      </w:tr>
      <w:tr w:rsidR="005F01A1" w:rsidRPr="005F01A1" w:rsidTr="00A05648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Головний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комітет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2A1D69" w:rsidP="00FE55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Комітет</w:t>
            </w:r>
            <w:proofErr w:type="spellEnd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з </w:t>
            </w:r>
            <w:proofErr w:type="spellStart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питань</w:t>
            </w:r>
            <w:proofErr w:type="spellEnd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правоохоронної</w:t>
            </w:r>
            <w:proofErr w:type="spellEnd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діяльності</w:t>
            </w:r>
            <w:proofErr w:type="spellEnd"/>
          </w:p>
        </w:tc>
      </w:tr>
      <w:tr w:rsidR="005F01A1" w:rsidRPr="005F01A1" w:rsidTr="00A05648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Висновок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рекомендації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2A1D69" w:rsidP="00A007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Зауваження</w:t>
            </w:r>
            <w:proofErr w:type="spellEnd"/>
            <w:r w:rsidR="00A0070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r w:rsid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– </w:t>
            </w:r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Не </w:t>
            </w:r>
            <w:proofErr w:type="spellStart"/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містить</w:t>
            </w:r>
            <w:proofErr w:type="spellEnd"/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корупціогенних </w:t>
            </w:r>
            <w:proofErr w:type="spellStart"/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факторів</w:t>
            </w:r>
            <w:proofErr w:type="spellEnd"/>
          </w:p>
        </w:tc>
      </w:tr>
    </w:tbl>
    <w:p w:rsidR="005F01A1" w:rsidRPr="00507828" w:rsidRDefault="005F01A1" w:rsidP="00072DA8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bookmarkStart w:id="0" w:name="_30j0zll" w:colFirst="0" w:colLast="0"/>
      <w:bookmarkEnd w:id="0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Резюме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Законопроєкт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пропонує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доповнити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Кримінальний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кодекс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(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далі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- КК)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новими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статтями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встановити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відповідальність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правопорушення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у сферах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формування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застосування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цін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і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тарифів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соціальнозначущі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товари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також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незаконного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придбання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подальшого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збуту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продукції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має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ознаки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товару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військового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призначення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Аналіз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запропонованих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норм та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виявлені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недоліки</w:t>
      </w:r>
      <w:proofErr w:type="spellEnd"/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1.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Пропонується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доповнити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КК новою ст. 201-3 “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Незаконне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придбання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збут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продукції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має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ознаки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товару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військового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призначення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”, яка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складається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3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частин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примітки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За ч. 1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ст. 201-3 КК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каратиметься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незаконне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придбання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збут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продукції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має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ознаки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товару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військового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призначення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вчинене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у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значному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розмірі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(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вартістю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434 175 грн. до 1 240 500 грн.). 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За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загрожуватиме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штраф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51000 грн. до 85000 грн.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обмеження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волі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на строк </w:t>
      </w:r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до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чотирьох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позбавлення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волі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на той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самий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строк</w:t>
      </w:r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Ч. 2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ст. 201-3 КК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встановлює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відповідальність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ж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якщо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вони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були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вчинені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повторно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попередньою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змовою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групою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осіб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службовою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особою з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використанням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службового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становища,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у великому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розмірі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(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вартістю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понад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1 240 500 грн.). 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lastRenderedPageBreak/>
        <w:t>Таке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порушення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каратиметься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позбавленням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волі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на строк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чотирьох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до семи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позбавленням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права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обіймати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посади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займатися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певною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діяльністю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строк до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трьох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конфіскацією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майна.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За ч. 3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ст. 201-3 КК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нестимуть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відповідальність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особи,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які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вчинили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вищевказані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діяння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в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умовах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воєнного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стану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За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загрожуватиме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позбавлення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волі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на строк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семи до десяти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позбавленням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права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обіймати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посади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займатися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певною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діяльністю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строк до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п’яти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конфіскацією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майна.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Визначення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предмета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злочину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-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продукції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має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ознаки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товару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військового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призначення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надається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у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примітці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ст. 201-3 КК.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Під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такою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продукцією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розуміють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бронежилети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пластини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для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бронежилетів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захисні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шоломи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речове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майно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іншу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екіпіровку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(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крім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зброї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),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закуплені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централізовано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кошти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державного бюджету для потреб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Збройних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Сил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та/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інших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військових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формувань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утворених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відповідно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до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законодавства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передані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в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якості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допомоги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міжнародних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партнерів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чи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благодійних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організацій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Таке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визначення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позбавлене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юридичної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визначеності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оскільки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неможливо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однозначно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встановити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розуміється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під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“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речовим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майном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іншою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екіпіровкою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”.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Об'єктивна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сторона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цього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злочину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полягатиме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збуті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незаконно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придбаної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продукції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має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ознаки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товару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військового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призначення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Фактично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йдеться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про перепродаж: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купівлю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військової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продукції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яка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була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придбана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бюджетні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кошти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була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передана як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допомога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безоплатній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основі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подальший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її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збут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Тому,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хоча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й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диспозиція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містить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посилання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мету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отримання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прибутку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вона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випливає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із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тлумачення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цієї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норми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У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зв'язку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цим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створюється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штучна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конкуренція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ст. 201-2 КК, яка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встановлює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відповідальність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незаконне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використання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з метою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отримання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прибутку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гуманітарної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допомоги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благодійних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пожертв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безоплатної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допомоги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. 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 xml:space="preserve">В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>переважній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>більшості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>випадків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>діяння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>описані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в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запропонованій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ст. 201-3 КК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будуть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підпадати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під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ознаки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ст.  201-2 КК,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створить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проблеми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для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правозастосування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взагалі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ставить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під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сумнів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необхідність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такого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нововведення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.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Окрім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цього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оскільки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санкції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у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цих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статей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різні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створюються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підстави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для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зловживань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при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кваліфікації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вчиненого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, коли за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неправомірну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вигоду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будуть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інкримінувати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більш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“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легку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”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статтю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Також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слід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звернути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увагу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згідно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загальною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нормою про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позбавленням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права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обіймати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посади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займатися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певною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діяльністю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(ст. 55 КК),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покарання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як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додаткове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може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бути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призначене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строк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одного до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трьох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Натомість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в ч. 3 ст. 201-3 КК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пропонується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застосов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увати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це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покарання</w:t>
      </w:r>
      <w:proofErr w:type="spellEnd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як </w:t>
      </w:r>
      <w:proofErr w:type="spellStart"/>
      <w:r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додаткове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позбавлення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волі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строк </w:t>
      </w:r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до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п’яти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суперечить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Загальній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частині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КК.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2.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Пропонується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доповнити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КК новою ст. 236 “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Порушення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порядку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формування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застосування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цін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і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тарифів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соціальнозначущі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товари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в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умовах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воєнного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надзвичайного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стану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”, яка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складається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2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частин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Встановлюється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відповідальність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порушення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порядку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формування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встановлення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застосування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цін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і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тарифів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а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також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знижок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націнок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і доплат до них,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вчинені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в</w:t>
      </w:r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умовах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надзвичайного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воєнного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стану</w:t>
      </w:r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товари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мають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істотну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соціальну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значущість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перелік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яких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визначений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Кабінетом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Міністрів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якщо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ціна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перевищила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більше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ніж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у 1,2 рази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рівень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ціни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визначений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Кабінетом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Міністрів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такий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товар.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lastRenderedPageBreak/>
        <w:t>Таке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каратиметься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позбавленням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волі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на строк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трьох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до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п’яти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позбавленням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права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обіймати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посади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займатися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певною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діяльністю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строк до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трьох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конфіскацією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майна.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За ч. 2 ст. 236 КК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каратиметься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вчинення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вищевказаного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повторно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попередньою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змовою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групою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осіб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службовою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особою з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використанням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>службового</w:t>
      </w:r>
      <w:proofErr w:type="spellEnd"/>
      <w:r w:rsidRPr="002A1D69">
        <w:rPr>
          <w:rFonts w:ascii="Times New Roman" w:hAnsi="Times New Roman" w:cs="Times New Roman"/>
          <w:i/>
          <w:color w:val="auto"/>
          <w:position w:val="0"/>
          <w:sz w:val="24"/>
          <w:szCs w:val="24"/>
          <w:lang w:val="ru" w:eastAsia="ru-RU"/>
        </w:rPr>
        <w:t xml:space="preserve"> становища. 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За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загрожуватиме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позбавлення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волі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на строк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п’яти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до семи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позбавленням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обіймати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посади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займатися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певною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діяльністю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строк до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п’яти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конфіскацією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майна.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Слід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зазначити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вказане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порушення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порядку є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адміністративно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караним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ст. 165-2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КУпАП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Фактично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криміналізуються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ознакою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їх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вчинення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</w:t>
      </w:r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умовах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надзвичайного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воєнного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стану.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пропозиція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може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бути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підтримана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таких причин.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Запропонований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склад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злочину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є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формальним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тобто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встановлення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наслідків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є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необхідним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З приводу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цього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викликає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сумнів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необхідність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його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криміналізації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Вчинення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цього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порушення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навіть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умовах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надзвичайного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воєнного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стану не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досягає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того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рівня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суспільної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небезпечності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який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би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вказував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необхідність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застосування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кримінальної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репресії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практиці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внаслідок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такого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об'єктивно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може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бути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завдана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істотна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шкода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суспільним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відносинам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</w:pP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До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товарів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мають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істотну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соціальну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значущість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згідно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Постановою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КМУ №</w:t>
      </w:r>
      <w:r w:rsidR="0089091F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34</w:t>
      </w:r>
      <w:bookmarkStart w:id="1" w:name="_GoBack"/>
      <w:bookmarkEnd w:id="1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1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22.04.2020 р.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відносяться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наприклад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борошно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пшеничне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вищого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gram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сорту, 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молоко</w:t>
      </w:r>
      <w:proofErr w:type="gram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пастеризоване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жирністю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2,5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відсотка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(у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плівці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),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хліб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житньо-пшеничний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яйця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курячі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категорії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С1,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птиця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(тушка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куряча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четвертина тушки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курячої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). 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Пунктом 41-12 </w:t>
      </w: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Постанови КМУ № 1236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09.12.2020 р.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граничний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рівень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торговельної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надбавки (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націнки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) 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вказані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товари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має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бути не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більшим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ніж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10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відсотків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</w:pP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Таким чином,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якщо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підприємець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встановить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ціну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наприклад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, 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борошно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пшеничне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вищого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сорту на 20%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вищу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оптово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відпускної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ціни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такого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борошна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йому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>загрожуватиме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позбавлення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волі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строк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трьох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п’яти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Оскільки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автор законопроєкту не наводить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об'єктивних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даних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які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б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свідчили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недостатність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адміністративного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покарання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можна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говорити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порушення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принципу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ultima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ratio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відповідно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якого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кримінальна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відповідальність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має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запроваджуватись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лише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тоді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коли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інші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способи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впливу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негативну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поведінку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виявились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недієвими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недостатніми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Окрім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цього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слід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вказати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недоліки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запропонованих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санкцій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саме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їх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невідповідність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загальним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правилам,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визначеним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Загальній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частині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КК.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 ч. 1 ст. 236 КК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пропонується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застосовувати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конфіскацію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майна,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однак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злочин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є тяжким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особливо тяжким, як того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вимагає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ч. 2 ст. 59 КК. 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Додатковим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покаранням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ч. 2 ст. 236 КК є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позбавлення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обіймати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певні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посади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або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займатися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певною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діяльністю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строк</w:t>
      </w:r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до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п’яти</w:t>
      </w:r>
      <w:proofErr w:type="spellEnd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Проте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згідно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ч. 1 ст. 55 КК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покарання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як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додаткове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може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бути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призначене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строк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1 до 3 </w:t>
      </w:r>
      <w:proofErr w:type="spellStart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років</w:t>
      </w:r>
      <w:proofErr w:type="spellEnd"/>
      <w:r w:rsidRPr="002A1D69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Висновок</w:t>
      </w:r>
      <w:proofErr w:type="spellEnd"/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2A1D69" w:rsidRPr="002A1D69" w:rsidRDefault="002A1D69" w:rsidP="002A1D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</w:pP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Інститут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законодавчих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ідей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підтримує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прийняття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проєкту як такого,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може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бути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проблемним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у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застосуванні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та є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проявом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надмірної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криміналізації</w:t>
      </w:r>
      <w:proofErr w:type="spellEnd"/>
      <w:r w:rsidRPr="002A1D69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.</w:t>
      </w:r>
    </w:p>
    <w:p w:rsidR="00EC5A17" w:rsidRPr="002A1D69" w:rsidRDefault="00EC5A17" w:rsidP="002A1D6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val="ru"/>
        </w:rPr>
      </w:pPr>
    </w:p>
    <w:sectPr w:rsidR="00EC5A17" w:rsidRPr="002A1D69" w:rsidSect="0050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52" w:rsidRDefault="000E7052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0E7052" w:rsidRDefault="000E7052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52" w:rsidRDefault="000E7052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0E7052" w:rsidRDefault="000E7052" w:rsidP="00FE58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507828" w:rsidTr="00507828">
      <w:trPr>
        <w:trHeight w:val="2196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>
            <w:rPr>
              <w:rFonts w:ascii="Cambria" w:hAnsi="Cambria" w:cs="Cambria"/>
              <w:b/>
              <w:color w:val="333399"/>
            </w:rPr>
            <w:t xml:space="preserve">       </w:t>
          </w:r>
          <w:r w:rsidRPr="00AC7EBE">
            <w:rPr>
              <w:rFonts w:ascii="Cambria" w:hAnsi="Cambria" w:cs="Cambria"/>
              <w:b/>
              <w:color w:val="333399"/>
            </w:rPr>
            <w:t xml:space="preserve">      </w:t>
          </w:r>
        </w:p>
        <w:p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Default="00507828" w:rsidP="00507828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016B7C36" wp14:editId="1388DA65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207"/>
    <w:multiLevelType w:val="multilevel"/>
    <w:tmpl w:val="9DF09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E5BB3"/>
    <w:multiLevelType w:val="multilevel"/>
    <w:tmpl w:val="3EDCD3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31C100E"/>
    <w:multiLevelType w:val="multilevel"/>
    <w:tmpl w:val="28CA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D4B2F"/>
    <w:multiLevelType w:val="multilevel"/>
    <w:tmpl w:val="36ACE3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204B71"/>
    <w:multiLevelType w:val="multilevel"/>
    <w:tmpl w:val="C7BC14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344112"/>
    <w:multiLevelType w:val="multilevel"/>
    <w:tmpl w:val="1E3A0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B93F6C"/>
    <w:multiLevelType w:val="multilevel"/>
    <w:tmpl w:val="9DD0A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962AEF"/>
    <w:multiLevelType w:val="multilevel"/>
    <w:tmpl w:val="84728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2638C0"/>
    <w:multiLevelType w:val="multilevel"/>
    <w:tmpl w:val="CD68C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62A10B6B"/>
    <w:multiLevelType w:val="multilevel"/>
    <w:tmpl w:val="6E669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8C24D4"/>
    <w:multiLevelType w:val="multilevel"/>
    <w:tmpl w:val="12D83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0319"/>
    <w:rsid w:val="00035BB6"/>
    <w:rsid w:val="000525CF"/>
    <w:rsid w:val="00072DA8"/>
    <w:rsid w:val="000816AF"/>
    <w:rsid w:val="000E7052"/>
    <w:rsid w:val="000F3992"/>
    <w:rsid w:val="00144ABE"/>
    <w:rsid w:val="00172B6D"/>
    <w:rsid w:val="0019514C"/>
    <w:rsid w:val="001A1A4B"/>
    <w:rsid w:val="001F0327"/>
    <w:rsid w:val="00260742"/>
    <w:rsid w:val="002A119D"/>
    <w:rsid w:val="002A1D69"/>
    <w:rsid w:val="002E1A14"/>
    <w:rsid w:val="002F0D41"/>
    <w:rsid w:val="003613BA"/>
    <w:rsid w:val="00380246"/>
    <w:rsid w:val="00384FDB"/>
    <w:rsid w:val="003F7518"/>
    <w:rsid w:val="00414BE2"/>
    <w:rsid w:val="00415E98"/>
    <w:rsid w:val="00423351"/>
    <w:rsid w:val="00427F91"/>
    <w:rsid w:val="004425AA"/>
    <w:rsid w:val="004E418A"/>
    <w:rsid w:val="00507828"/>
    <w:rsid w:val="0053184F"/>
    <w:rsid w:val="00542505"/>
    <w:rsid w:val="00552574"/>
    <w:rsid w:val="0055315F"/>
    <w:rsid w:val="00581342"/>
    <w:rsid w:val="005D43A1"/>
    <w:rsid w:val="005F01A1"/>
    <w:rsid w:val="0075544C"/>
    <w:rsid w:val="00760B42"/>
    <w:rsid w:val="00765B32"/>
    <w:rsid w:val="007A0B6F"/>
    <w:rsid w:val="007E2705"/>
    <w:rsid w:val="00812D53"/>
    <w:rsid w:val="00886358"/>
    <w:rsid w:val="0089091F"/>
    <w:rsid w:val="008A70E4"/>
    <w:rsid w:val="008D36B9"/>
    <w:rsid w:val="00920E20"/>
    <w:rsid w:val="0092158F"/>
    <w:rsid w:val="00943B3F"/>
    <w:rsid w:val="00961E2B"/>
    <w:rsid w:val="00964AA4"/>
    <w:rsid w:val="009B43CA"/>
    <w:rsid w:val="00A0070D"/>
    <w:rsid w:val="00A23864"/>
    <w:rsid w:val="00A26B33"/>
    <w:rsid w:val="00A46222"/>
    <w:rsid w:val="00A573F4"/>
    <w:rsid w:val="00AC7EBE"/>
    <w:rsid w:val="00AD0E79"/>
    <w:rsid w:val="00AD4A2C"/>
    <w:rsid w:val="00AD7FF3"/>
    <w:rsid w:val="00B419EE"/>
    <w:rsid w:val="00B75AEB"/>
    <w:rsid w:val="00BF0BB3"/>
    <w:rsid w:val="00BF62B7"/>
    <w:rsid w:val="00C36DC0"/>
    <w:rsid w:val="00C613AB"/>
    <w:rsid w:val="00C70ACD"/>
    <w:rsid w:val="00C73A64"/>
    <w:rsid w:val="00CE6C1B"/>
    <w:rsid w:val="00D57CF0"/>
    <w:rsid w:val="00D6742B"/>
    <w:rsid w:val="00D95DAB"/>
    <w:rsid w:val="00E177AF"/>
    <w:rsid w:val="00E8340A"/>
    <w:rsid w:val="00EC2928"/>
    <w:rsid w:val="00EC5A17"/>
    <w:rsid w:val="00ED19A5"/>
    <w:rsid w:val="00ED4132"/>
    <w:rsid w:val="00ED70D1"/>
    <w:rsid w:val="00F50BF1"/>
    <w:rsid w:val="00F86CE8"/>
    <w:rsid w:val="00FB2BED"/>
    <w:rsid w:val="00FC13CB"/>
    <w:rsid w:val="00FD3987"/>
    <w:rsid w:val="00FE55D3"/>
    <w:rsid w:val="00FE581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AD7FF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D7FF3"/>
    <w:rPr>
      <w:rFonts w:eastAsia="Times New Roman"/>
      <w:color w:val="000000"/>
      <w:position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4</cp:revision>
  <dcterms:created xsi:type="dcterms:W3CDTF">2022-06-03T15:56:00Z</dcterms:created>
  <dcterms:modified xsi:type="dcterms:W3CDTF">2022-06-06T09:36:00Z</dcterms:modified>
</cp:coreProperties>
</file>