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BED64B" w14:textId="77777777" w:rsidR="00ED4132" w:rsidRDefault="00ED4132" w:rsidP="00E177AF">
      <w:pPr>
        <w:widowControl w:val="0"/>
        <w:spacing w:line="240" w:lineRule="auto"/>
        <w:ind w:leftChars="0" w:left="0" w:firstLineChars="0" w:firstLine="0"/>
        <w:jc w:val="center"/>
        <w:outlineLvl w:val="9"/>
        <w:rPr>
          <w:sz w:val="24"/>
          <w:szCs w:val="24"/>
        </w:rPr>
      </w:pPr>
    </w:p>
    <w:tbl>
      <w:tblPr>
        <w:tblpPr w:leftFromText="180" w:rightFromText="180" w:vertAnchor="text" w:horzAnchor="page" w:tblpX="2283" w:tblpY="31"/>
        <w:tblW w:w="8897" w:type="dxa"/>
        <w:tblCellMar>
          <w:top w:w="15" w:type="dxa"/>
          <w:left w:w="15" w:type="dxa"/>
          <w:bottom w:w="15" w:type="dxa"/>
          <w:right w:w="15" w:type="dxa"/>
        </w:tblCellMar>
        <w:tblLook w:val="04A0" w:firstRow="1" w:lastRow="0" w:firstColumn="1" w:lastColumn="0" w:noHBand="0" w:noVBand="1"/>
      </w:tblPr>
      <w:tblGrid>
        <w:gridCol w:w="260"/>
        <w:gridCol w:w="8637"/>
      </w:tblGrid>
      <w:tr w:rsidR="00F50BF1" w:rsidRPr="00F50BF1" w14:paraId="30C0C31B" w14:textId="77777777" w:rsidTr="00051D43">
        <w:trPr>
          <w:trHeight w:val="294"/>
        </w:trPr>
        <w:tc>
          <w:tcPr>
            <w:tcW w:w="0" w:type="auto"/>
            <w:tcMar>
              <w:top w:w="100" w:type="dxa"/>
              <w:left w:w="100" w:type="dxa"/>
              <w:bottom w:w="100" w:type="dxa"/>
              <w:right w:w="100" w:type="dxa"/>
            </w:tcMar>
            <w:hideMark/>
          </w:tcPr>
          <w:p w14:paraId="6B2FC08D" w14:textId="77777777" w:rsidR="00F50BF1" w:rsidRPr="00F50BF1" w:rsidRDefault="00F50BF1" w:rsidP="00F50BF1">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rPr>
            </w:pPr>
            <w:r w:rsidRPr="00F50BF1">
              <w:rPr>
                <w:rFonts w:ascii="Times New Roman" w:hAnsi="Times New Roman" w:cs="Times New Roman"/>
                <w:position w:val="0"/>
                <w:sz w:val="24"/>
                <w:szCs w:val="24"/>
              </w:rPr>
              <w:br/>
              <w:t> </w:t>
            </w:r>
          </w:p>
        </w:tc>
        <w:tc>
          <w:tcPr>
            <w:tcW w:w="8637" w:type="dxa"/>
            <w:tcMar>
              <w:top w:w="100" w:type="dxa"/>
              <w:left w:w="100" w:type="dxa"/>
              <w:bottom w:w="100" w:type="dxa"/>
              <w:right w:w="100" w:type="dxa"/>
            </w:tcMar>
            <w:hideMark/>
          </w:tcPr>
          <w:p w14:paraId="21FAE21A" w14:textId="47C02121" w:rsidR="00F50BF1" w:rsidRPr="000D5D28" w:rsidRDefault="000D5D28" w:rsidP="00F50BF1">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lang w:val="ru-RU"/>
              </w:rPr>
            </w:pPr>
            <w:r>
              <w:rPr>
                <w:rFonts w:ascii="Times New Roman" w:hAnsi="Times New Roman" w:cs="Times New Roman"/>
                <w:b/>
                <w:bCs/>
                <w:position w:val="0"/>
                <w:sz w:val="56"/>
                <w:szCs w:val="56"/>
                <w:lang w:val="ru-RU"/>
              </w:rPr>
              <w:t>6</w:t>
            </w:r>
            <w:r w:rsidR="00ED11A3">
              <w:rPr>
                <w:rFonts w:ascii="Times New Roman" w:hAnsi="Times New Roman" w:cs="Times New Roman"/>
                <w:b/>
                <w:bCs/>
                <w:position w:val="0"/>
                <w:sz w:val="56"/>
                <w:szCs w:val="56"/>
                <w:lang w:val="ru-RU"/>
              </w:rPr>
              <w:t>480</w:t>
            </w:r>
          </w:p>
        </w:tc>
      </w:tr>
    </w:tbl>
    <w:p w14:paraId="6E09BD78" w14:textId="77777777" w:rsidR="0053184F" w:rsidRPr="0053184F" w:rsidRDefault="0053184F" w:rsidP="0053184F">
      <w:pPr>
        <w:suppressAutoHyphens w:val="0"/>
        <w:spacing w:line="240" w:lineRule="auto"/>
        <w:ind w:leftChars="0" w:firstLineChars="0" w:firstLine="0"/>
        <w:jc w:val="center"/>
        <w:textDirection w:val="lrTb"/>
        <w:textAlignment w:val="auto"/>
        <w:outlineLvl w:val="9"/>
        <w:rPr>
          <w:rFonts w:ascii="Times New Roman" w:eastAsia="Arial" w:hAnsi="Times New Roman" w:cs="Times New Roman"/>
          <w:b/>
          <w:position w:val="0"/>
          <w:sz w:val="24"/>
          <w:szCs w:val="24"/>
        </w:rPr>
      </w:pPr>
      <w:r w:rsidRPr="0053184F">
        <w:rPr>
          <w:rFonts w:ascii="Times New Roman" w:eastAsia="Arial" w:hAnsi="Times New Roman" w:cs="Times New Roman"/>
          <w:b/>
          <w:position w:val="0"/>
          <w:sz w:val="24"/>
          <w:szCs w:val="24"/>
        </w:rPr>
        <w:t>Аналітична довідка</w:t>
      </w:r>
    </w:p>
    <w:p w14:paraId="06B69C8F" w14:textId="77777777" w:rsidR="00F50BF1" w:rsidRPr="00F50BF1" w:rsidRDefault="0019514C" w:rsidP="0053184F">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Pr>
          <w:rFonts w:ascii="Times New Roman" w:eastAsia="Arial" w:hAnsi="Times New Roman" w:cs="Times New Roman"/>
          <w:b/>
          <w:position w:val="0"/>
          <w:sz w:val="24"/>
          <w:szCs w:val="24"/>
        </w:rPr>
        <w:t xml:space="preserve">щодо </w:t>
      </w:r>
      <w:r w:rsidR="00A36759">
        <w:rPr>
          <w:rFonts w:ascii="Times New Roman" w:eastAsia="Arial" w:hAnsi="Times New Roman" w:cs="Times New Roman"/>
          <w:b/>
          <w:position w:val="0"/>
          <w:sz w:val="24"/>
          <w:szCs w:val="24"/>
        </w:rPr>
        <w:t>законопроєкту</w:t>
      </w:r>
    </w:p>
    <w:tbl>
      <w:tblPr>
        <w:tblW w:w="957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CellMar>
          <w:left w:w="0" w:type="dxa"/>
          <w:right w:w="0" w:type="dxa"/>
        </w:tblCellMar>
        <w:tblLook w:val="0000" w:firstRow="0" w:lastRow="0" w:firstColumn="0" w:lastColumn="0" w:noHBand="0" w:noVBand="0"/>
      </w:tblPr>
      <w:tblGrid>
        <w:gridCol w:w="2552"/>
        <w:gridCol w:w="7024"/>
      </w:tblGrid>
      <w:tr w:rsidR="0052687B" w:rsidRPr="0052687B" w14:paraId="101DC72D" w14:textId="77777777" w:rsidTr="00EF7A51">
        <w:tc>
          <w:tcPr>
            <w:tcW w:w="2552" w:type="dxa"/>
            <w:tcMar>
              <w:top w:w="100" w:type="dxa"/>
              <w:left w:w="100" w:type="dxa"/>
              <w:bottom w:w="100" w:type="dxa"/>
              <w:right w:w="100" w:type="dxa"/>
            </w:tcMar>
          </w:tcPr>
          <w:p w14:paraId="26A0C615" w14:textId="77777777" w:rsidR="0052687B" w:rsidRPr="0052687B" w:rsidRDefault="0052687B" w:rsidP="0052687B">
            <w:pPr>
              <w:suppressAutoHyphens w:val="0"/>
              <w:spacing w:line="240" w:lineRule="auto"/>
              <w:ind w:leftChars="0" w:left="0" w:firstLineChars="0" w:firstLine="0"/>
              <w:jc w:val="center"/>
              <w:textDirection w:val="lrTb"/>
              <w:textAlignment w:val="auto"/>
              <w:outlineLvl w:val="9"/>
              <w:rPr>
                <w:rFonts w:ascii="Times New Roman" w:eastAsia="Arial" w:hAnsi="Times New Roman" w:cs="Times New Roman"/>
                <w:position w:val="0"/>
                <w:sz w:val="24"/>
                <w:szCs w:val="24"/>
              </w:rPr>
            </w:pPr>
            <w:r w:rsidRPr="0052687B">
              <w:rPr>
                <w:rFonts w:ascii="Times New Roman" w:eastAsia="Arial" w:hAnsi="Times New Roman" w:cs="Times New Roman"/>
                <w:b/>
                <w:position w:val="0"/>
                <w:sz w:val="24"/>
                <w:szCs w:val="24"/>
              </w:rPr>
              <w:t>Назва акту</w:t>
            </w:r>
          </w:p>
        </w:tc>
        <w:tc>
          <w:tcPr>
            <w:tcW w:w="7024" w:type="dxa"/>
            <w:tcMar>
              <w:top w:w="100" w:type="dxa"/>
              <w:left w:w="100" w:type="dxa"/>
              <w:bottom w:w="100" w:type="dxa"/>
              <w:right w:w="100" w:type="dxa"/>
            </w:tcMar>
          </w:tcPr>
          <w:p w14:paraId="00DBECF3" w14:textId="6DF4627F" w:rsidR="0052687B" w:rsidRPr="0052687B" w:rsidRDefault="00ED11A3" w:rsidP="0052687B">
            <w:pPr>
              <w:shd w:val="clear" w:color="auto" w:fill="FFFFFF"/>
              <w:suppressAutoHyphens w:val="0"/>
              <w:spacing w:line="240" w:lineRule="auto"/>
              <w:ind w:leftChars="0" w:left="0" w:firstLineChars="0" w:firstLine="0"/>
              <w:jc w:val="center"/>
              <w:textDirection w:val="lrTb"/>
              <w:textAlignment w:val="baseline"/>
              <w:outlineLvl w:val="2"/>
              <w:rPr>
                <w:rFonts w:ascii="Times New Roman" w:hAnsi="Times New Roman" w:cs="Times New Roman"/>
                <w:bCs/>
                <w:color w:val="auto"/>
                <w:position w:val="0"/>
                <w:sz w:val="24"/>
                <w:szCs w:val="24"/>
                <w:lang w:eastAsia="ru-RU"/>
              </w:rPr>
            </w:pPr>
            <w:bookmarkStart w:id="0" w:name="h.hhg2xxkf9phl" w:colFirst="0" w:colLast="0"/>
            <w:bookmarkEnd w:id="0"/>
            <w:r w:rsidRPr="00ED11A3">
              <w:rPr>
                <w:rFonts w:ascii="Times New Roman" w:hAnsi="Times New Roman" w:cs="Times New Roman"/>
                <w:bCs/>
                <w:color w:val="auto"/>
                <w:position w:val="0"/>
                <w:sz w:val="24"/>
                <w:szCs w:val="24"/>
                <w:lang w:eastAsia="ru-RU"/>
              </w:rPr>
              <w:t>Про географічні зазначення спиртних напоїв</w:t>
            </w:r>
          </w:p>
        </w:tc>
      </w:tr>
      <w:tr w:rsidR="000D5D28" w:rsidRPr="0052687B" w14:paraId="4EBFCE45" w14:textId="77777777" w:rsidTr="00A23638">
        <w:tc>
          <w:tcPr>
            <w:tcW w:w="2552" w:type="dxa"/>
            <w:shd w:val="clear" w:color="auto" w:fill="FFFFFF"/>
            <w:tcMar>
              <w:top w:w="100" w:type="dxa"/>
              <w:left w:w="100" w:type="dxa"/>
              <w:bottom w:w="100" w:type="dxa"/>
              <w:right w:w="100" w:type="dxa"/>
            </w:tcMar>
          </w:tcPr>
          <w:p w14:paraId="616EB2DB" w14:textId="77777777" w:rsidR="000D5D28" w:rsidRPr="0052687B" w:rsidRDefault="000D5D28" w:rsidP="000D5D28">
            <w:pPr>
              <w:suppressAutoHyphens w:val="0"/>
              <w:spacing w:line="240" w:lineRule="auto"/>
              <w:ind w:leftChars="0" w:left="0" w:firstLineChars="0" w:firstLine="0"/>
              <w:jc w:val="center"/>
              <w:textDirection w:val="lrTb"/>
              <w:textAlignment w:val="auto"/>
              <w:outlineLvl w:val="9"/>
              <w:rPr>
                <w:rFonts w:ascii="Times New Roman" w:eastAsia="Arial" w:hAnsi="Times New Roman" w:cs="Times New Roman"/>
                <w:color w:val="auto"/>
                <w:position w:val="0"/>
                <w:sz w:val="24"/>
                <w:szCs w:val="24"/>
              </w:rPr>
            </w:pPr>
            <w:r w:rsidRPr="0052687B">
              <w:rPr>
                <w:rFonts w:ascii="Times New Roman" w:eastAsia="Arial" w:hAnsi="Times New Roman" w:cs="Times New Roman"/>
                <w:b/>
                <w:color w:val="auto"/>
                <w:position w:val="0"/>
                <w:sz w:val="24"/>
                <w:szCs w:val="24"/>
                <w:lang w:val="ru-RU"/>
              </w:rPr>
              <w:t>Дата ре</w:t>
            </w:r>
            <w:proofErr w:type="spellStart"/>
            <w:r w:rsidRPr="0052687B">
              <w:rPr>
                <w:rFonts w:ascii="Times New Roman" w:eastAsia="Arial" w:hAnsi="Times New Roman" w:cs="Times New Roman"/>
                <w:b/>
                <w:color w:val="auto"/>
                <w:position w:val="0"/>
                <w:sz w:val="24"/>
                <w:szCs w:val="24"/>
              </w:rPr>
              <w:t>єстрації</w:t>
            </w:r>
            <w:proofErr w:type="spellEnd"/>
          </w:p>
        </w:tc>
        <w:tc>
          <w:tcPr>
            <w:tcW w:w="7024"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6ED07906" w14:textId="7EDB220D" w:rsidR="000D5D28" w:rsidRPr="000D5D28" w:rsidRDefault="00831FB8" w:rsidP="000D5D28">
            <w:pPr>
              <w:suppressAutoHyphens w:val="0"/>
              <w:spacing w:line="240" w:lineRule="auto"/>
              <w:ind w:leftChars="0" w:left="0" w:firstLineChars="0" w:firstLine="0"/>
              <w:jc w:val="center"/>
              <w:textDirection w:val="lrTb"/>
              <w:textAlignment w:val="auto"/>
              <w:outlineLvl w:val="9"/>
              <w:rPr>
                <w:rFonts w:ascii="Times New Roman" w:eastAsia="Arial" w:hAnsi="Times New Roman" w:cs="Times New Roman"/>
                <w:color w:val="auto"/>
                <w:position w:val="0"/>
                <w:sz w:val="24"/>
                <w:szCs w:val="24"/>
              </w:rPr>
            </w:pPr>
            <w:r>
              <w:rPr>
                <w:rFonts w:ascii="Times New Roman" w:hAnsi="Times New Roman" w:cs="Times New Roman"/>
                <w:sz w:val="24"/>
                <w:szCs w:val="24"/>
              </w:rPr>
              <w:t>28</w:t>
            </w:r>
            <w:r w:rsidR="000D5D28" w:rsidRPr="000D5D28">
              <w:rPr>
                <w:rFonts w:ascii="Times New Roman" w:hAnsi="Times New Roman" w:cs="Times New Roman"/>
                <w:sz w:val="24"/>
                <w:szCs w:val="24"/>
              </w:rPr>
              <w:t>.1</w:t>
            </w:r>
            <w:r>
              <w:rPr>
                <w:rFonts w:ascii="Times New Roman" w:hAnsi="Times New Roman" w:cs="Times New Roman"/>
                <w:sz w:val="24"/>
                <w:szCs w:val="24"/>
              </w:rPr>
              <w:t>2</w:t>
            </w:r>
            <w:r w:rsidR="000D5D28" w:rsidRPr="000D5D28">
              <w:rPr>
                <w:rFonts w:ascii="Times New Roman" w:hAnsi="Times New Roman" w:cs="Times New Roman"/>
                <w:sz w:val="24"/>
                <w:szCs w:val="24"/>
              </w:rPr>
              <w:t>.202</w:t>
            </w:r>
            <w:r>
              <w:rPr>
                <w:rFonts w:ascii="Times New Roman" w:hAnsi="Times New Roman" w:cs="Times New Roman"/>
                <w:sz w:val="24"/>
                <w:szCs w:val="24"/>
              </w:rPr>
              <w:t>1</w:t>
            </w:r>
          </w:p>
        </w:tc>
      </w:tr>
      <w:tr w:rsidR="000D5D28" w:rsidRPr="0052687B" w14:paraId="14E7844C" w14:textId="77777777" w:rsidTr="00A23638">
        <w:trPr>
          <w:trHeight w:val="761"/>
        </w:trPr>
        <w:tc>
          <w:tcPr>
            <w:tcW w:w="2552" w:type="dxa"/>
            <w:tcMar>
              <w:top w:w="100" w:type="dxa"/>
              <w:left w:w="100" w:type="dxa"/>
              <w:bottom w:w="100" w:type="dxa"/>
              <w:right w:w="100" w:type="dxa"/>
            </w:tcMar>
          </w:tcPr>
          <w:p w14:paraId="2F5906E8" w14:textId="77777777" w:rsidR="000D5D28" w:rsidRPr="0052687B" w:rsidRDefault="000D5D28" w:rsidP="000D5D28">
            <w:pPr>
              <w:suppressAutoHyphens w:val="0"/>
              <w:spacing w:line="240" w:lineRule="auto"/>
              <w:ind w:leftChars="0" w:left="0" w:firstLineChars="0" w:firstLine="0"/>
              <w:jc w:val="center"/>
              <w:textDirection w:val="lrTb"/>
              <w:textAlignment w:val="auto"/>
              <w:outlineLvl w:val="9"/>
              <w:rPr>
                <w:rFonts w:ascii="Times New Roman" w:eastAsia="Arial" w:hAnsi="Times New Roman" w:cs="Times New Roman"/>
                <w:b/>
                <w:position w:val="0"/>
                <w:sz w:val="24"/>
                <w:szCs w:val="24"/>
              </w:rPr>
            </w:pPr>
            <w:r w:rsidRPr="0052687B">
              <w:rPr>
                <w:rFonts w:ascii="Times New Roman" w:eastAsia="Arial" w:hAnsi="Times New Roman" w:cs="Times New Roman"/>
                <w:b/>
                <w:position w:val="0"/>
                <w:sz w:val="24"/>
                <w:szCs w:val="24"/>
              </w:rPr>
              <w:t>Суб’єкт права законодавчої ініціативи</w:t>
            </w:r>
          </w:p>
        </w:tc>
        <w:tc>
          <w:tcPr>
            <w:tcW w:w="7024"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4F2CB931" w14:textId="77777777" w:rsidR="000D5D28" w:rsidRPr="000D5D28" w:rsidRDefault="000D5D28" w:rsidP="000D5D28">
            <w:pPr>
              <w:shd w:val="clear" w:color="auto" w:fill="FFFFFF"/>
              <w:ind w:left="0" w:hanging="2"/>
              <w:jc w:val="center"/>
              <w:rPr>
                <w:rFonts w:ascii="Times New Roman" w:hAnsi="Times New Roman" w:cs="Times New Roman"/>
                <w:sz w:val="24"/>
                <w:szCs w:val="24"/>
              </w:rPr>
            </w:pPr>
            <w:r w:rsidRPr="000D5D28">
              <w:rPr>
                <w:rFonts w:ascii="Times New Roman" w:hAnsi="Times New Roman" w:cs="Times New Roman"/>
                <w:sz w:val="24"/>
                <w:szCs w:val="24"/>
              </w:rPr>
              <w:t>Кабінет Міністрів України</w:t>
            </w:r>
          </w:p>
          <w:p w14:paraId="0045E825" w14:textId="01C96DE9" w:rsidR="000D5D28" w:rsidRPr="000D5D28" w:rsidRDefault="000D5D28" w:rsidP="000D5D28">
            <w:pPr>
              <w:shd w:val="clear" w:color="auto" w:fill="FFFFFF"/>
              <w:suppressAutoHyphens w:val="0"/>
              <w:spacing w:line="240" w:lineRule="auto"/>
              <w:ind w:leftChars="0" w:left="0" w:firstLineChars="0" w:firstLine="0"/>
              <w:jc w:val="center"/>
              <w:textDirection w:val="lrTb"/>
              <w:textAlignment w:val="baseline"/>
              <w:outlineLvl w:val="9"/>
              <w:rPr>
                <w:rFonts w:ascii="Times New Roman" w:hAnsi="Times New Roman" w:cs="Times New Roman"/>
                <w:color w:val="auto"/>
                <w:position w:val="0"/>
                <w:sz w:val="24"/>
                <w:szCs w:val="24"/>
              </w:rPr>
            </w:pPr>
            <w:r w:rsidRPr="000D5D28">
              <w:rPr>
                <w:rFonts w:ascii="Times New Roman" w:hAnsi="Times New Roman" w:cs="Times New Roman"/>
                <w:sz w:val="24"/>
                <w:szCs w:val="24"/>
              </w:rPr>
              <w:t>Шмигаль Денис Анатолійович</w:t>
            </w:r>
          </w:p>
        </w:tc>
      </w:tr>
      <w:tr w:rsidR="000D5D28" w:rsidRPr="0052687B" w14:paraId="6683AE4B" w14:textId="77777777" w:rsidTr="00A23638">
        <w:trPr>
          <w:trHeight w:val="287"/>
        </w:trPr>
        <w:tc>
          <w:tcPr>
            <w:tcW w:w="2552" w:type="dxa"/>
            <w:tcMar>
              <w:top w:w="100" w:type="dxa"/>
              <w:left w:w="100" w:type="dxa"/>
              <w:bottom w:w="100" w:type="dxa"/>
              <w:right w:w="100" w:type="dxa"/>
            </w:tcMar>
          </w:tcPr>
          <w:p w14:paraId="10CB1B93" w14:textId="77777777" w:rsidR="000D5D28" w:rsidRPr="0052687B" w:rsidRDefault="000D5D28" w:rsidP="000D5D28">
            <w:pPr>
              <w:suppressAutoHyphens w:val="0"/>
              <w:spacing w:line="240" w:lineRule="auto"/>
              <w:ind w:leftChars="0" w:left="0" w:firstLineChars="0" w:firstLine="0"/>
              <w:jc w:val="center"/>
              <w:textDirection w:val="lrTb"/>
              <w:textAlignment w:val="auto"/>
              <w:outlineLvl w:val="9"/>
              <w:rPr>
                <w:rFonts w:ascii="Times New Roman" w:eastAsia="Arial" w:hAnsi="Times New Roman" w:cs="Times New Roman"/>
                <w:b/>
                <w:position w:val="0"/>
                <w:sz w:val="24"/>
                <w:szCs w:val="24"/>
              </w:rPr>
            </w:pPr>
            <w:r w:rsidRPr="0052687B">
              <w:rPr>
                <w:rFonts w:ascii="Times New Roman" w:eastAsia="Arial" w:hAnsi="Times New Roman" w:cs="Times New Roman"/>
                <w:b/>
                <w:position w:val="0"/>
                <w:sz w:val="24"/>
                <w:szCs w:val="24"/>
              </w:rPr>
              <w:t>Головний комітет</w:t>
            </w:r>
          </w:p>
        </w:tc>
        <w:tc>
          <w:tcPr>
            <w:tcW w:w="7024"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5AED8E94" w14:textId="19F9412B" w:rsidR="000D5D28" w:rsidRPr="000D5D28" w:rsidRDefault="00ED11A3" w:rsidP="000D5D28">
            <w:pPr>
              <w:suppressAutoHyphens w:val="0"/>
              <w:spacing w:line="240" w:lineRule="auto"/>
              <w:ind w:leftChars="0" w:left="0" w:firstLineChars="0" w:firstLine="0"/>
              <w:jc w:val="center"/>
              <w:textDirection w:val="lrTb"/>
              <w:textAlignment w:val="auto"/>
              <w:outlineLvl w:val="9"/>
              <w:rPr>
                <w:rFonts w:ascii="Times New Roman" w:eastAsia="Arial" w:hAnsi="Times New Roman" w:cs="Times New Roman"/>
                <w:color w:val="auto"/>
                <w:position w:val="0"/>
                <w:sz w:val="24"/>
                <w:szCs w:val="24"/>
              </w:rPr>
            </w:pPr>
            <w:r w:rsidRPr="00ED11A3">
              <w:rPr>
                <w:rFonts w:ascii="Times New Roman" w:hAnsi="Times New Roman" w:cs="Times New Roman"/>
                <w:sz w:val="24"/>
                <w:szCs w:val="24"/>
              </w:rPr>
              <w:t>Комітет з питань аграрної та земельної політики</w:t>
            </w:r>
          </w:p>
        </w:tc>
      </w:tr>
      <w:tr w:rsidR="000D5D28" w:rsidRPr="0052687B" w14:paraId="2ED9CB45" w14:textId="77777777" w:rsidTr="00A23638">
        <w:trPr>
          <w:trHeight w:val="287"/>
        </w:trPr>
        <w:tc>
          <w:tcPr>
            <w:tcW w:w="2552" w:type="dxa"/>
            <w:tcMar>
              <w:top w:w="100" w:type="dxa"/>
              <w:left w:w="100" w:type="dxa"/>
              <w:bottom w:w="100" w:type="dxa"/>
              <w:right w:w="100" w:type="dxa"/>
            </w:tcMar>
          </w:tcPr>
          <w:p w14:paraId="64C26031" w14:textId="77777777" w:rsidR="000D5D28" w:rsidRPr="0052687B" w:rsidRDefault="000D5D28" w:rsidP="000D5D28">
            <w:pPr>
              <w:suppressAutoHyphens w:val="0"/>
              <w:spacing w:line="240" w:lineRule="auto"/>
              <w:ind w:leftChars="0" w:left="0" w:firstLineChars="0" w:firstLine="0"/>
              <w:jc w:val="center"/>
              <w:textDirection w:val="lrTb"/>
              <w:textAlignment w:val="auto"/>
              <w:outlineLvl w:val="9"/>
              <w:rPr>
                <w:rFonts w:ascii="Times New Roman" w:eastAsia="Arial" w:hAnsi="Times New Roman" w:cs="Times New Roman"/>
                <w:b/>
                <w:position w:val="0"/>
                <w:sz w:val="24"/>
                <w:szCs w:val="24"/>
              </w:rPr>
            </w:pPr>
            <w:r w:rsidRPr="0052687B">
              <w:rPr>
                <w:rFonts w:ascii="Times New Roman" w:eastAsia="Arial" w:hAnsi="Times New Roman" w:cs="Times New Roman"/>
                <w:b/>
                <w:position w:val="0"/>
                <w:sz w:val="24"/>
                <w:szCs w:val="24"/>
              </w:rPr>
              <w:t>Висновок та рекомендації</w:t>
            </w:r>
          </w:p>
        </w:tc>
        <w:tc>
          <w:tcPr>
            <w:tcW w:w="7024" w:type="dxa"/>
            <w:tcBorders>
              <w:bottom w:val="single" w:sz="8" w:space="0" w:color="BFBFBF"/>
              <w:right w:val="single" w:sz="8" w:space="0" w:color="BFBFBF"/>
            </w:tcBorders>
            <w:tcMar>
              <w:top w:w="100" w:type="dxa"/>
              <w:left w:w="100" w:type="dxa"/>
              <w:bottom w:w="100" w:type="dxa"/>
              <w:right w:w="100" w:type="dxa"/>
            </w:tcMar>
          </w:tcPr>
          <w:p w14:paraId="0FF115B0" w14:textId="59BCD3F2" w:rsidR="000D5D28" w:rsidRPr="000D5D28" w:rsidRDefault="000D5D28" w:rsidP="00ED11A3">
            <w:pPr>
              <w:suppressAutoHyphens w:val="0"/>
              <w:spacing w:line="240" w:lineRule="auto"/>
              <w:ind w:leftChars="0" w:left="0" w:firstLineChars="0" w:firstLine="0"/>
              <w:jc w:val="center"/>
              <w:textDirection w:val="lrTb"/>
              <w:textAlignment w:val="auto"/>
              <w:outlineLvl w:val="9"/>
              <w:rPr>
                <w:rFonts w:ascii="Times New Roman" w:eastAsia="Arial" w:hAnsi="Times New Roman" w:cs="Times New Roman"/>
                <w:color w:val="auto"/>
                <w:position w:val="0"/>
                <w:sz w:val="24"/>
                <w:szCs w:val="24"/>
              </w:rPr>
            </w:pPr>
            <w:r w:rsidRPr="000D5D28">
              <w:rPr>
                <w:rFonts w:ascii="Times New Roman" w:hAnsi="Times New Roman" w:cs="Times New Roman"/>
                <w:sz w:val="24"/>
                <w:szCs w:val="24"/>
              </w:rPr>
              <w:t xml:space="preserve"> </w:t>
            </w:r>
            <w:r w:rsidR="00ED11A3">
              <w:rPr>
                <w:rFonts w:ascii="Times New Roman" w:hAnsi="Times New Roman" w:cs="Times New Roman"/>
                <w:sz w:val="24"/>
                <w:szCs w:val="24"/>
              </w:rPr>
              <w:t xml:space="preserve">Негативний </w:t>
            </w:r>
            <w:r>
              <w:rPr>
                <w:rFonts w:ascii="Times New Roman" w:hAnsi="Times New Roman" w:cs="Times New Roman"/>
                <w:sz w:val="24"/>
                <w:szCs w:val="24"/>
              </w:rPr>
              <w:t xml:space="preserve">– </w:t>
            </w:r>
            <w:r w:rsidR="00ED11A3">
              <w:rPr>
                <w:rFonts w:ascii="Times New Roman" w:hAnsi="Times New Roman" w:cs="Times New Roman"/>
                <w:sz w:val="24"/>
                <w:szCs w:val="24"/>
              </w:rPr>
              <w:t>М</w:t>
            </w:r>
            <w:r w:rsidRPr="000D5D28">
              <w:rPr>
                <w:rFonts w:ascii="Times New Roman" w:hAnsi="Times New Roman" w:cs="Times New Roman"/>
                <w:sz w:val="24"/>
                <w:szCs w:val="24"/>
              </w:rPr>
              <w:t>істить корупціогенн</w:t>
            </w:r>
            <w:r w:rsidR="00ED11A3">
              <w:rPr>
                <w:rFonts w:ascii="Times New Roman" w:hAnsi="Times New Roman" w:cs="Times New Roman"/>
                <w:sz w:val="24"/>
                <w:szCs w:val="24"/>
              </w:rPr>
              <w:t>і фактори</w:t>
            </w:r>
          </w:p>
        </w:tc>
      </w:tr>
    </w:tbl>
    <w:p w14:paraId="7457D0BB" w14:textId="77777777" w:rsidR="0052687B" w:rsidRPr="0052687B" w:rsidRDefault="0052687B" w:rsidP="0052687B">
      <w:pPr>
        <w:suppressAutoHyphens w:val="0"/>
        <w:spacing w:line="240" w:lineRule="auto"/>
        <w:ind w:leftChars="0" w:left="0" w:firstLineChars="0" w:firstLine="0"/>
        <w:jc w:val="both"/>
        <w:textDirection w:val="lrTb"/>
        <w:textAlignment w:val="auto"/>
        <w:outlineLvl w:val="9"/>
        <w:rPr>
          <w:rFonts w:ascii="Times New Roman" w:eastAsia="Arial" w:hAnsi="Times New Roman" w:cs="Times New Roman"/>
          <w:b/>
          <w:color w:val="auto"/>
          <w:position w:val="0"/>
          <w:sz w:val="24"/>
          <w:szCs w:val="24"/>
        </w:rPr>
      </w:pPr>
    </w:p>
    <w:p w14:paraId="656182EF"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sz w:val="24"/>
          <w:szCs w:val="24"/>
          <w:lang w:eastAsia="ru-RU"/>
        </w:rPr>
      </w:pPr>
      <w:r w:rsidRPr="00ED11A3">
        <w:rPr>
          <w:rFonts w:ascii="Times New Roman" w:hAnsi="Times New Roman" w:cs="Times New Roman"/>
          <w:b/>
          <w:sz w:val="24"/>
          <w:szCs w:val="24"/>
          <w:lang w:eastAsia="ru-RU"/>
        </w:rPr>
        <w:t>Резюме</w:t>
      </w:r>
    </w:p>
    <w:p w14:paraId="68E90614"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Законопроєктом пропонується визначити особливості підготовки до реєстрації, використання та захисту географічних зазначень спиртних напоїв.</w:t>
      </w:r>
    </w:p>
    <w:p w14:paraId="4E9B25C0" w14:textId="77777777" w:rsidR="00ED11A3" w:rsidRPr="00ED11A3" w:rsidRDefault="00ED11A3" w:rsidP="00ED11A3">
      <w:pPr>
        <w:tabs>
          <w:tab w:val="left" w:pos="711"/>
          <w:tab w:val="left" w:pos="8931"/>
        </w:tabs>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Відповідно до проєкту географічне зазначення спиртного напою — це найменування місця, що ідентифікує спиртний напій, який походить з території певної країни або регіону як частини країни, населеного пункту чи місцевості на цій території, якщо особлива якість, репутація чи інші характеристики спиртного напою зумовлені головним чином цим географічним місцем походження.</w:t>
      </w:r>
    </w:p>
    <w:p w14:paraId="31041396" w14:textId="77777777" w:rsidR="00ED11A3" w:rsidRPr="00ED11A3" w:rsidRDefault="00ED11A3" w:rsidP="00ED11A3">
      <w:pPr>
        <w:tabs>
          <w:tab w:val="left" w:pos="3"/>
          <w:tab w:val="left" w:pos="8931"/>
        </w:tabs>
        <w:spacing w:line="240" w:lineRule="auto"/>
        <w:ind w:leftChars="0" w:left="0" w:firstLineChars="0" w:firstLine="720"/>
        <w:jc w:val="both"/>
        <w:outlineLvl w:val="9"/>
        <w:rPr>
          <w:rFonts w:ascii="Times New Roman" w:hAnsi="Times New Roman" w:cs="Times New Roman"/>
          <w:sz w:val="24"/>
          <w:szCs w:val="24"/>
          <w:lang w:eastAsia="ru-RU"/>
        </w:rPr>
      </w:pPr>
    </w:p>
    <w:p w14:paraId="04703D5C"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i/>
          <w:sz w:val="24"/>
          <w:szCs w:val="24"/>
          <w:lang w:eastAsia="ru-RU"/>
        </w:rPr>
      </w:pPr>
      <w:r w:rsidRPr="00ED11A3">
        <w:rPr>
          <w:rFonts w:ascii="Times New Roman" w:hAnsi="Times New Roman" w:cs="Times New Roman"/>
          <w:b/>
          <w:i/>
          <w:sz w:val="24"/>
          <w:szCs w:val="24"/>
          <w:lang w:eastAsia="ru-RU"/>
        </w:rPr>
        <w:t>В результаті проведення антикорупційної експертизи законопроєкту Інститут законодавчих ідей виявив в його положеннях низку корупціогенних факторів та зауважень по суті.</w:t>
      </w:r>
    </w:p>
    <w:p w14:paraId="60EE9A0F"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p>
    <w:p w14:paraId="3C990EA9" w14:textId="77777777" w:rsidR="00ED11A3" w:rsidRDefault="00ED11A3" w:rsidP="00ED11A3">
      <w:pPr>
        <w:spacing w:line="240" w:lineRule="auto"/>
        <w:ind w:leftChars="0" w:left="0" w:firstLineChars="0" w:firstLine="720"/>
        <w:jc w:val="both"/>
        <w:outlineLvl w:val="9"/>
        <w:rPr>
          <w:rFonts w:ascii="Times New Roman" w:hAnsi="Times New Roman" w:cs="Times New Roman"/>
          <w:b/>
          <w:sz w:val="24"/>
          <w:szCs w:val="24"/>
          <w:lang w:eastAsia="ru-RU"/>
        </w:rPr>
      </w:pPr>
      <w:r w:rsidRPr="00ED11A3">
        <w:rPr>
          <w:rFonts w:ascii="Times New Roman" w:hAnsi="Times New Roman" w:cs="Times New Roman"/>
          <w:b/>
          <w:sz w:val="24"/>
          <w:szCs w:val="24"/>
          <w:lang w:eastAsia="ru-RU"/>
        </w:rPr>
        <w:t>Корупціогенні фактори</w:t>
      </w:r>
    </w:p>
    <w:p w14:paraId="23A9903B" w14:textId="77777777" w:rsidR="00ED11A3" w:rsidRDefault="00ED11A3" w:rsidP="00ED11A3">
      <w:pPr>
        <w:spacing w:line="240" w:lineRule="auto"/>
        <w:ind w:leftChars="0" w:firstLineChars="0" w:firstLine="720"/>
        <w:jc w:val="both"/>
        <w:outlineLvl w:val="9"/>
        <w:rPr>
          <w:rFonts w:ascii="Times New Roman" w:hAnsi="Times New Roman" w:cs="Times New Roman"/>
          <w:sz w:val="24"/>
          <w:szCs w:val="24"/>
          <w:lang w:eastAsia="ru-RU"/>
        </w:rPr>
      </w:pPr>
    </w:p>
    <w:p w14:paraId="2C29EDBD" w14:textId="77777777" w:rsidR="00ED11A3" w:rsidRPr="00ED11A3" w:rsidRDefault="00ED11A3" w:rsidP="00ED11A3">
      <w:pPr>
        <w:spacing w:line="240" w:lineRule="auto"/>
        <w:ind w:leftChars="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1.1. Спеціально уповноважений орган зможе довільно встановлювати вимоги до специфікації спиртних напоїв.</w:t>
      </w:r>
    </w:p>
    <w:p w14:paraId="5F92358A" w14:textId="77777777" w:rsidR="00ED11A3" w:rsidRPr="00ED11A3" w:rsidRDefault="00ED11A3" w:rsidP="00ED11A3">
      <w:pPr>
        <w:spacing w:line="240" w:lineRule="auto"/>
        <w:ind w:leftChars="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1.2. Відсутня чітка і прозора процедура погодження змін до специфікації спиртного напою. </w:t>
      </w:r>
    </w:p>
    <w:p w14:paraId="071CCCB9" w14:textId="77777777" w:rsidR="00ED11A3" w:rsidRPr="00ED11A3" w:rsidRDefault="00ED11A3" w:rsidP="00ED11A3">
      <w:pPr>
        <w:spacing w:line="240" w:lineRule="auto"/>
        <w:ind w:leftChars="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1.3. Проєкт дозволяє безпідставну відмову у видачі сертифіката та необґрунтоване обмеження терміну його дії. </w:t>
      </w:r>
    </w:p>
    <w:p w14:paraId="76E683A9" w14:textId="77777777" w:rsidR="00ED11A3" w:rsidRPr="00ED11A3" w:rsidRDefault="00ED11A3" w:rsidP="00ED11A3">
      <w:pPr>
        <w:spacing w:line="240" w:lineRule="auto"/>
        <w:ind w:leftChars="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lastRenderedPageBreak/>
        <w:t>1.4. Органи з оцінки відповідності на власний розсуд зупинятимуть дію сертифіката про відповідність спиртного напою вимогам специфікації.</w:t>
      </w:r>
    </w:p>
    <w:p w14:paraId="35D5814E" w14:textId="0455DBEA"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2. Спеціально уповноважений орган матиме право безпідставно втручатись в діяльність органів з оцінки відповідності.</w:t>
      </w:r>
    </w:p>
    <w:p w14:paraId="3DBB5604"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p>
    <w:p w14:paraId="56DFB2DD"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sz w:val="24"/>
          <w:szCs w:val="24"/>
          <w:lang w:eastAsia="ru-RU"/>
        </w:rPr>
      </w:pPr>
      <w:r w:rsidRPr="00ED11A3">
        <w:rPr>
          <w:rFonts w:ascii="Times New Roman" w:hAnsi="Times New Roman" w:cs="Times New Roman"/>
          <w:b/>
          <w:sz w:val="24"/>
          <w:szCs w:val="24"/>
          <w:lang w:eastAsia="ru-RU"/>
        </w:rPr>
        <w:t>Повний аналіз корупціогенних факторів</w:t>
      </w:r>
    </w:p>
    <w:p w14:paraId="5EDDB933"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sz w:val="24"/>
          <w:szCs w:val="24"/>
          <w:lang w:eastAsia="ru-RU"/>
        </w:rPr>
      </w:pPr>
    </w:p>
    <w:p w14:paraId="7B16CF76"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sz w:val="24"/>
          <w:szCs w:val="24"/>
          <w:lang w:eastAsia="ru-RU"/>
        </w:rPr>
      </w:pPr>
      <w:r w:rsidRPr="00ED11A3">
        <w:rPr>
          <w:rFonts w:ascii="Times New Roman" w:hAnsi="Times New Roman" w:cs="Times New Roman"/>
          <w:b/>
          <w:sz w:val="24"/>
          <w:szCs w:val="24"/>
          <w:lang w:eastAsia="ru-RU"/>
        </w:rPr>
        <w:t>1. Надмірні дискреційні повноваження</w:t>
      </w:r>
    </w:p>
    <w:p w14:paraId="3521DE53"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sz w:val="24"/>
          <w:szCs w:val="24"/>
          <w:lang w:eastAsia="ru-RU"/>
        </w:rPr>
      </w:pPr>
    </w:p>
    <w:p w14:paraId="6F5AE4C0"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b/>
          <w:i/>
          <w:sz w:val="24"/>
          <w:szCs w:val="24"/>
          <w:lang w:eastAsia="ru-RU"/>
        </w:rPr>
        <w:t>1.1. Спеціально уповноважений орган зможе довільно встановлювати вимоги до специфікації спиртних напоїв.</w:t>
      </w:r>
      <w:r w:rsidRPr="00ED11A3">
        <w:rPr>
          <w:rFonts w:ascii="Times New Roman" w:hAnsi="Times New Roman" w:cs="Times New Roman"/>
          <w:sz w:val="24"/>
          <w:szCs w:val="24"/>
          <w:lang w:eastAsia="ru-RU"/>
        </w:rPr>
        <w:t xml:space="preserve"> </w:t>
      </w:r>
    </w:p>
    <w:p w14:paraId="0D068859"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Відповідно до частини 7 статті 6 законопроєкту вимоги до специфікації затверджуються спеціально уповноваженим органом.</w:t>
      </w:r>
    </w:p>
    <w:p w14:paraId="4EA975B4"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Однак статтями 4 та 5 проєкту вже встановлено:</w:t>
      </w:r>
    </w:p>
    <w:p w14:paraId="56155D25"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перелік відомостей, які повинна містити специфікація спиртного напою;</w:t>
      </w:r>
    </w:p>
    <w:p w14:paraId="0CA33DB8"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вимоги до відомостей специфікації.</w:t>
      </w:r>
    </w:p>
    <w:p w14:paraId="6D83772F"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Тобто, законопроєкт дозволяє спеціально уповноваженому органу на власний розсуд встановлювати вимоги до специфікацій спиртних напоїв. Таким чином, створюється можливість встановлення вимог до специфікацій під конкретного виробника. Вказане сприятиме виникненню корупційних ризиків та зловживань під час погодження специфікацій.</w:t>
      </w:r>
    </w:p>
    <w:p w14:paraId="678040E1"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Крім цього, зазначеними положеннями законопроєкту різні суб'єкти наділяються однаковим за змістом повноваженням, що також сприяє виникненню корупційних ризиків. Таке дублювання повноважень може стати предметом маніпулювання і прийняття рішення на власний розсуд щодо того, який саме орган повинен визначати вимоги до специфікацій спиртних напоїв.</w:t>
      </w:r>
    </w:p>
    <w:p w14:paraId="3E45ECDA"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Для усунення корупційних ризиків, із частини 7 статті 6 проєкту потрібно виключити положення, якими </w:t>
      </w:r>
      <w:proofErr w:type="spellStart"/>
      <w:r w:rsidRPr="00ED11A3">
        <w:rPr>
          <w:rFonts w:ascii="Times New Roman" w:hAnsi="Times New Roman" w:cs="Times New Roman"/>
          <w:sz w:val="24"/>
          <w:szCs w:val="24"/>
          <w:lang w:eastAsia="ru-RU"/>
        </w:rPr>
        <w:t>завтердження</w:t>
      </w:r>
      <w:proofErr w:type="spellEnd"/>
      <w:r w:rsidRPr="00ED11A3">
        <w:rPr>
          <w:rFonts w:ascii="Times New Roman" w:hAnsi="Times New Roman" w:cs="Times New Roman"/>
          <w:sz w:val="24"/>
          <w:szCs w:val="24"/>
          <w:lang w:eastAsia="ru-RU"/>
        </w:rPr>
        <w:t xml:space="preserve"> вимог до специфікацій віднесено до повноважень спеціально уповноваженого органу.</w:t>
      </w:r>
    </w:p>
    <w:p w14:paraId="1B9C3D5E"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  </w:t>
      </w:r>
    </w:p>
    <w:p w14:paraId="53EAEE47"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i/>
          <w:sz w:val="24"/>
          <w:szCs w:val="24"/>
          <w:lang w:eastAsia="ru-RU"/>
        </w:rPr>
      </w:pPr>
      <w:r w:rsidRPr="00ED11A3">
        <w:rPr>
          <w:rFonts w:ascii="Times New Roman" w:hAnsi="Times New Roman" w:cs="Times New Roman"/>
          <w:b/>
          <w:i/>
          <w:sz w:val="24"/>
          <w:szCs w:val="24"/>
          <w:lang w:eastAsia="ru-RU"/>
        </w:rPr>
        <w:t xml:space="preserve">1.2. У законопроєкті відсутня чітка і прозора процедура погодження змін до специфікації спиртного напою. </w:t>
      </w:r>
    </w:p>
    <w:p w14:paraId="76C3FD4B"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Частиною 7 статті 11 законопроєкту передбачено, що </w:t>
      </w:r>
      <w:r w:rsidRPr="00ED11A3">
        <w:rPr>
          <w:rFonts w:ascii="Times New Roman" w:hAnsi="Times New Roman" w:cs="Times New Roman"/>
          <w:b/>
          <w:sz w:val="24"/>
          <w:szCs w:val="24"/>
          <w:lang w:eastAsia="ru-RU"/>
        </w:rPr>
        <w:t>порядок погодження</w:t>
      </w:r>
      <w:r w:rsidRPr="00ED11A3">
        <w:rPr>
          <w:rFonts w:ascii="Times New Roman" w:hAnsi="Times New Roman" w:cs="Times New Roman"/>
          <w:sz w:val="24"/>
          <w:szCs w:val="24"/>
          <w:lang w:eastAsia="ru-RU"/>
        </w:rPr>
        <w:t xml:space="preserve"> спеціально уповноваженим органом </w:t>
      </w:r>
      <w:r w:rsidRPr="00ED11A3">
        <w:rPr>
          <w:rFonts w:ascii="Times New Roman" w:hAnsi="Times New Roman" w:cs="Times New Roman"/>
          <w:b/>
          <w:sz w:val="24"/>
          <w:szCs w:val="24"/>
          <w:lang w:eastAsia="ru-RU"/>
        </w:rPr>
        <w:t>змін до специфікації</w:t>
      </w:r>
      <w:r w:rsidRPr="00ED11A3">
        <w:rPr>
          <w:rFonts w:ascii="Times New Roman" w:hAnsi="Times New Roman" w:cs="Times New Roman"/>
          <w:sz w:val="24"/>
          <w:szCs w:val="24"/>
          <w:lang w:eastAsia="ru-RU"/>
        </w:rPr>
        <w:t xml:space="preserve"> спиртного напою, щодо якого використовується географічне зазначення, встановлюється </w:t>
      </w:r>
      <w:r w:rsidRPr="00ED11A3">
        <w:rPr>
          <w:rFonts w:ascii="Times New Roman" w:hAnsi="Times New Roman" w:cs="Times New Roman"/>
          <w:b/>
          <w:sz w:val="24"/>
          <w:szCs w:val="24"/>
          <w:lang w:eastAsia="ru-RU"/>
        </w:rPr>
        <w:t>спеціально уповноваженим органом</w:t>
      </w:r>
      <w:r w:rsidRPr="00ED11A3">
        <w:rPr>
          <w:rFonts w:ascii="Times New Roman" w:hAnsi="Times New Roman" w:cs="Times New Roman"/>
          <w:sz w:val="24"/>
          <w:szCs w:val="24"/>
          <w:lang w:eastAsia="ru-RU"/>
        </w:rPr>
        <w:t>.</w:t>
      </w:r>
    </w:p>
    <w:p w14:paraId="57D92ED7"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Проте законопроєктом не визначено:</w:t>
      </w:r>
    </w:p>
    <w:p w14:paraId="41E6CD0A"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вичерпний перелік документів, необхідних для розгляду подання (клопотання) про погодження;</w:t>
      </w:r>
    </w:p>
    <w:p w14:paraId="4E54D7CB"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 строки розгляду та прийняття рішення; </w:t>
      </w:r>
    </w:p>
    <w:p w14:paraId="27E75473"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підстави відмови у погодженні.</w:t>
      </w:r>
    </w:p>
    <w:p w14:paraId="709F811D"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Надання таких повноважень без визначення вищевказаних положень дозволяє спеціально уповноваженому органу діяти на власний розсуд. Це сприяє виникненню корупційних ризиків та можливих зловживань при здійсненні вищезазначеного погодження, наприклад, навмисне затягування строків погодження, як підстава для вимагання неправомірної вигоди.</w:t>
      </w:r>
    </w:p>
    <w:p w14:paraId="32291E5C"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Також законопроєкт дозволяє спеціально уповноваженому органу самостійно встановлювати порядок погодження змін до специфікації спиртного напою. Таким чином, створюється можливість встановлення процедури погодження під конкретного виробника.</w:t>
      </w:r>
    </w:p>
    <w:p w14:paraId="6E7E8DC1"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Усунення корупційного ризику можливе шляхом визначення в проєкті порядку змін до специфікації спиртного напою.</w:t>
      </w:r>
    </w:p>
    <w:p w14:paraId="08111942"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p>
    <w:p w14:paraId="13029B12"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i/>
          <w:sz w:val="24"/>
          <w:szCs w:val="24"/>
          <w:lang w:eastAsia="ru-RU"/>
        </w:rPr>
      </w:pPr>
      <w:r w:rsidRPr="00ED11A3">
        <w:rPr>
          <w:rFonts w:ascii="Times New Roman" w:hAnsi="Times New Roman" w:cs="Times New Roman"/>
          <w:b/>
          <w:i/>
          <w:sz w:val="24"/>
          <w:szCs w:val="24"/>
          <w:lang w:eastAsia="ru-RU"/>
        </w:rPr>
        <w:lastRenderedPageBreak/>
        <w:t xml:space="preserve">1.3. Законопроєкт дозволяє безпідставну відмову у видачі сертифіката та необґрунтоване обмеження терміну його дії. </w:t>
      </w:r>
    </w:p>
    <w:p w14:paraId="6603CDD0"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Відповідно до частини 4 статті 23 законопроєкту за результатами оцінки відповідності спиртного напою з зареєстрованим географічним зазначенням вимогам специфікації органом з оцінки відповідності ухвалюється вмотивоване рішення про видачу або </w:t>
      </w:r>
      <w:r w:rsidRPr="00ED11A3">
        <w:rPr>
          <w:rFonts w:ascii="Times New Roman" w:hAnsi="Times New Roman" w:cs="Times New Roman"/>
          <w:b/>
          <w:sz w:val="24"/>
          <w:szCs w:val="24"/>
          <w:lang w:eastAsia="ru-RU"/>
        </w:rPr>
        <w:t>відмову у видачі сертифіката</w:t>
      </w:r>
      <w:r w:rsidRPr="00ED11A3">
        <w:rPr>
          <w:rFonts w:ascii="Times New Roman" w:hAnsi="Times New Roman" w:cs="Times New Roman"/>
          <w:sz w:val="24"/>
          <w:szCs w:val="24"/>
          <w:lang w:eastAsia="ru-RU"/>
        </w:rPr>
        <w:t>.</w:t>
      </w:r>
    </w:p>
    <w:p w14:paraId="3AFBA152"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Термін дії сертифіката визначається органом з оцінки відповідності (частина 5 статті 23 проєкту).</w:t>
      </w:r>
    </w:p>
    <w:p w14:paraId="62688AD2"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Водночас, законопроєктом не визначено:</w:t>
      </w:r>
    </w:p>
    <w:p w14:paraId="5FA297CB"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підстави відмови у видачі сертифіката;</w:t>
      </w:r>
    </w:p>
    <w:p w14:paraId="7BA62A19"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межі та критерії, на підставі яких встановлюватиметься термін дії сертифікату.</w:t>
      </w:r>
    </w:p>
    <w:p w14:paraId="30A9FBBE"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Це наділяє органи з оцінки відповідності надмірними дискреційними повноваженнями на власний розсуд приймати рішення щодо видачі або відмови у видачі сертифікатів та визначення терміну його дії, що створює умови для корупційних зловживань.</w:t>
      </w:r>
    </w:p>
    <w:p w14:paraId="042B68D7"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Прийняття та реалізація законопроєкту створює непрозорий механізм видачі сертифікатів.</w:t>
      </w:r>
    </w:p>
    <w:p w14:paraId="1061B828"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Для усунення недоліків в законопроєкті необхідно чітко встановити:</w:t>
      </w:r>
    </w:p>
    <w:p w14:paraId="0FE284EA"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підстави відмови у видачі сертифікату;</w:t>
      </w:r>
    </w:p>
    <w:p w14:paraId="0011C932"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термін дії сертифікату.</w:t>
      </w:r>
    </w:p>
    <w:p w14:paraId="456041E1"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 </w:t>
      </w:r>
    </w:p>
    <w:p w14:paraId="18CC2FDB"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i/>
          <w:sz w:val="24"/>
          <w:szCs w:val="24"/>
          <w:lang w:eastAsia="ru-RU"/>
        </w:rPr>
      </w:pPr>
      <w:r w:rsidRPr="00ED11A3">
        <w:rPr>
          <w:rFonts w:ascii="Times New Roman" w:hAnsi="Times New Roman" w:cs="Times New Roman"/>
          <w:b/>
          <w:i/>
          <w:sz w:val="24"/>
          <w:szCs w:val="24"/>
          <w:lang w:eastAsia="ru-RU"/>
        </w:rPr>
        <w:t>1.4. Органи з оцінки відповідності на власний розсуд зупинятимуть дію сертифіката про відповідність спиртного напою вимогам специфікації.</w:t>
      </w:r>
    </w:p>
    <w:p w14:paraId="6C54A0E0"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Згідно із частиною 7 статті 23 законопроєкту орган з оцінки відповідності </w:t>
      </w:r>
      <w:r w:rsidRPr="00ED11A3">
        <w:rPr>
          <w:rFonts w:ascii="Times New Roman" w:hAnsi="Times New Roman" w:cs="Times New Roman"/>
          <w:b/>
          <w:sz w:val="24"/>
          <w:szCs w:val="24"/>
          <w:lang w:eastAsia="ru-RU"/>
        </w:rPr>
        <w:t>має право зупинити</w:t>
      </w:r>
      <w:r w:rsidRPr="00ED11A3">
        <w:rPr>
          <w:rFonts w:ascii="Times New Roman" w:hAnsi="Times New Roman" w:cs="Times New Roman"/>
          <w:sz w:val="24"/>
          <w:szCs w:val="24"/>
          <w:lang w:eastAsia="ru-RU"/>
        </w:rPr>
        <w:t xml:space="preserve"> дію сертифіката.</w:t>
      </w:r>
    </w:p>
    <w:p w14:paraId="05AC93AF"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Дія сертифікату </w:t>
      </w:r>
      <w:r w:rsidRPr="00ED11A3">
        <w:rPr>
          <w:rFonts w:ascii="Times New Roman" w:hAnsi="Times New Roman" w:cs="Times New Roman"/>
          <w:b/>
          <w:sz w:val="24"/>
          <w:szCs w:val="24"/>
          <w:lang w:eastAsia="ru-RU"/>
        </w:rPr>
        <w:t>може бути зупинена</w:t>
      </w:r>
      <w:r w:rsidRPr="00ED11A3">
        <w:rPr>
          <w:rFonts w:ascii="Times New Roman" w:hAnsi="Times New Roman" w:cs="Times New Roman"/>
          <w:sz w:val="24"/>
          <w:szCs w:val="24"/>
          <w:lang w:eastAsia="ru-RU"/>
        </w:rPr>
        <w:t xml:space="preserve"> у разі повідомлення від </w:t>
      </w:r>
      <w:proofErr w:type="spellStart"/>
      <w:r w:rsidRPr="00ED11A3">
        <w:rPr>
          <w:rFonts w:ascii="Times New Roman" w:hAnsi="Times New Roman" w:cs="Times New Roman"/>
          <w:sz w:val="24"/>
          <w:szCs w:val="24"/>
          <w:lang w:eastAsia="ru-RU"/>
        </w:rPr>
        <w:t>Держпродспоживслужби</w:t>
      </w:r>
      <w:proofErr w:type="spellEnd"/>
      <w:r w:rsidRPr="00ED11A3">
        <w:rPr>
          <w:rFonts w:ascii="Times New Roman" w:hAnsi="Times New Roman" w:cs="Times New Roman"/>
          <w:sz w:val="24"/>
          <w:szCs w:val="24"/>
          <w:lang w:eastAsia="ru-RU"/>
        </w:rPr>
        <w:t>, з інформацією про порушення виробником спиртних напоїв законодавства у сфері географічних зазначень спиртних напоїв (частина 8 статті 23 проєкту).</w:t>
      </w:r>
    </w:p>
    <w:p w14:paraId="48AA600A"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Вживання словосполучення “</w:t>
      </w:r>
      <w:r w:rsidRPr="00ED11A3">
        <w:rPr>
          <w:rFonts w:ascii="Times New Roman" w:hAnsi="Times New Roman" w:cs="Times New Roman"/>
          <w:b/>
          <w:i/>
          <w:sz w:val="24"/>
          <w:szCs w:val="24"/>
          <w:lang w:eastAsia="ru-RU"/>
        </w:rPr>
        <w:t>може бути зупинена</w:t>
      </w:r>
      <w:r w:rsidRPr="00ED11A3">
        <w:rPr>
          <w:rFonts w:ascii="Times New Roman" w:hAnsi="Times New Roman" w:cs="Times New Roman"/>
          <w:sz w:val="24"/>
          <w:szCs w:val="24"/>
          <w:lang w:eastAsia="ru-RU"/>
        </w:rPr>
        <w:t>” свідчить про надмірні дискреційні повноваження органу з оцінки відповідності. Таке положення законопроєкту визначає декілька можливих варіантів вирішення вищезазначеного питання без чітких критеріїв вибору одного з них, а саме зупиняти дію сертифікату чи ні. Також проєктом не визначено строк на який зупинятиметься дія сертифікату. Надання таких повноважень сприятиме виникненню корупційних ризиків та можливих зловживань органів з оцінки відповідності.</w:t>
      </w:r>
    </w:p>
    <w:p w14:paraId="4B3333B4"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З метою усунення корупційних ризиків, в проєкті необхідно чітко встановити підстави та строки зупинення дії сертифікату.</w:t>
      </w:r>
    </w:p>
    <w:p w14:paraId="06535297"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p>
    <w:p w14:paraId="4594284C" w14:textId="4771C5F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b/>
          <w:sz w:val="24"/>
          <w:szCs w:val="24"/>
          <w:lang w:eastAsia="ru-RU"/>
        </w:rPr>
        <w:t xml:space="preserve">2. </w:t>
      </w:r>
      <w:r w:rsidRPr="00ED11A3">
        <w:rPr>
          <w:rFonts w:ascii="Times New Roman" w:hAnsi="Times New Roman" w:cs="Times New Roman"/>
          <w:b/>
          <w:sz w:val="24"/>
          <w:szCs w:val="24"/>
          <w:lang w:eastAsia="ru-RU"/>
        </w:rPr>
        <w:t>Необґрунтоване</w:t>
      </w:r>
      <w:r w:rsidRPr="00ED11A3">
        <w:rPr>
          <w:rFonts w:ascii="Times New Roman" w:hAnsi="Times New Roman" w:cs="Times New Roman"/>
          <w:b/>
          <w:sz w:val="24"/>
          <w:szCs w:val="24"/>
          <w:lang w:eastAsia="ru-RU"/>
        </w:rPr>
        <w:t xml:space="preserve"> використання оціночних понять</w:t>
      </w:r>
      <w:r w:rsidRPr="00ED11A3">
        <w:rPr>
          <w:rFonts w:ascii="Times New Roman" w:hAnsi="Times New Roman" w:cs="Times New Roman"/>
          <w:sz w:val="24"/>
          <w:szCs w:val="24"/>
          <w:lang w:eastAsia="ru-RU"/>
        </w:rPr>
        <w:t xml:space="preserve"> </w:t>
      </w:r>
    </w:p>
    <w:p w14:paraId="5FDAC359"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p>
    <w:p w14:paraId="66852211"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b/>
          <w:i/>
          <w:sz w:val="24"/>
          <w:szCs w:val="24"/>
          <w:lang w:eastAsia="ru-RU"/>
        </w:rPr>
        <w:t>Через вживання оціночних понять, проєкт надає спеціально уповноваженому органу право довільно втручатись в діяльність органів з оцінки відповідності.</w:t>
      </w:r>
    </w:p>
    <w:p w14:paraId="1C78E63B" w14:textId="0F2F410D"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Відповідно до пункту 5 частини 1 статті 21 </w:t>
      </w:r>
      <w:r w:rsidRPr="00ED11A3">
        <w:rPr>
          <w:rFonts w:ascii="Times New Roman" w:hAnsi="Times New Roman" w:cs="Times New Roman"/>
          <w:sz w:val="24"/>
          <w:szCs w:val="24"/>
          <w:lang w:eastAsia="ru-RU"/>
        </w:rPr>
        <w:t>законопроєкту</w:t>
      </w:r>
      <w:r w:rsidRPr="00ED11A3">
        <w:rPr>
          <w:rFonts w:ascii="Times New Roman" w:hAnsi="Times New Roman" w:cs="Times New Roman"/>
          <w:sz w:val="24"/>
          <w:szCs w:val="24"/>
          <w:lang w:eastAsia="ru-RU"/>
        </w:rPr>
        <w:t xml:space="preserve"> спеціально уповноважений орган вносить до Реєстру органів з оцінки відповідності у сфері географічних зазначень підприємство, установу, організацію, що може </w:t>
      </w:r>
      <w:r w:rsidRPr="00ED11A3">
        <w:rPr>
          <w:rFonts w:ascii="Times New Roman" w:hAnsi="Times New Roman" w:cs="Times New Roman"/>
          <w:b/>
          <w:sz w:val="24"/>
          <w:szCs w:val="24"/>
          <w:lang w:eastAsia="ru-RU"/>
        </w:rPr>
        <w:t>підтвердити відповідний рівень компетентності</w:t>
      </w:r>
      <w:r w:rsidRPr="00ED11A3">
        <w:rPr>
          <w:rFonts w:ascii="Times New Roman" w:hAnsi="Times New Roman" w:cs="Times New Roman"/>
          <w:sz w:val="24"/>
          <w:szCs w:val="24"/>
          <w:lang w:eastAsia="ru-RU"/>
        </w:rPr>
        <w:t xml:space="preserve"> персоналу у сфері географічних зазначень (</w:t>
      </w:r>
      <w:r w:rsidRPr="00ED11A3">
        <w:rPr>
          <w:rFonts w:ascii="Times New Roman" w:hAnsi="Times New Roman" w:cs="Times New Roman"/>
          <w:b/>
          <w:sz w:val="24"/>
          <w:szCs w:val="24"/>
          <w:lang w:eastAsia="ru-RU"/>
        </w:rPr>
        <w:t>досвід роботи</w:t>
      </w:r>
      <w:r w:rsidRPr="00ED11A3">
        <w:rPr>
          <w:rFonts w:ascii="Times New Roman" w:hAnsi="Times New Roman" w:cs="Times New Roman"/>
          <w:sz w:val="24"/>
          <w:szCs w:val="24"/>
          <w:lang w:eastAsia="ru-RU"/>
        </w:rPr>
        <w:t xml:space="preserve"> та </w:t>
      </w:r>
      <w:r w:rsidRPr="00ED11A3">
        <w:rPr>
          <w:rFonts w:ascii="Times New Roman" w:hAnsi="Times New Roman" w:cs="Times New Roman"/>
          <w:b/>
          <w:sz w:val="24"/>
          <w:szCs w:val="24"/>
          <w:lang w:eastAsia="ru-RU"/>
        </w:rPr>
        <w:t>спеціальні знання</w:t>
      </w:r>
      <w:r w:rsidRPr="00ED11A3">
        <w:rPr>
          <w:rFonts w:ascii="Times New Roman" w:hAnsi="Times New Roman" w:cs="Times New Roman"/>
          <w:sz w:val="24"/>
          <w:szCs w:val="24"/>
          <w:lang w:eastAsia="ru-RU"/>
        </w:rPr>
        <w:t xml:space="preserve"> у відповідній галузі).</w:t>
      </w:r>
    </w:p>
    <w:p w14:paraId="6525292B"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Орган з оцінки відповідності зобов’язаний подавати щороку до 31 грудня спеціально уповноваженому органу перелік співробітників та інформацію про </w:t>
      </w:r>
      <w:r w:rsidRPr="00ED11A3">
        <w:rPr>
          <w:rFonts w:ascii="Times New Roman" w:hAnsi="Times New Roman" w:cs="Times New Roman"/>
          <w:b/>
          <w:sz w:val="24"/>
          <w:szCs w:val="24"/>
          <w:lang w:eastAsia="ru-RU"/>
        </w:rPr>
        <w:t>підтвердження рівня компетентності</w:t>
      </w:r>
      <w:r w:rsidRPr="00ED11A3">
        <w:rPr>
          <w:rFonts w:ascii="Times New Roman" w:hAnsi="Times New Roman" w:cs="Times New Roman"/>
          <w:sz w:val="24"/>
          <w:szCs w:val="24"/>
          <w:lang w:eastAsia="ru-RU"/>
        </w:rPr>
        <w:t xml:space="preserve"> персоналу у сфері географічних зазначень спиртних напоїв (частина 6 статті 21 проєкту).</w:t>
      </w:r>
    </w:p>
    <w:p w14:paraId="5DA93840"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lastRenderedPageBreak/>
        <w:t>Згідно з частиною 4 статті 21 законопроєкту підставами для відмови у внесенні до Реєстру органів з оцінки відповідності у сфері географічних зазначень є:</w:t>
      </w:r>
    </w:p>
    <w:p w14:paraId="3FDFE317"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невідповідність підприємства, установи, організації вимогам, встановленим цією статтею;</w:t>
      </w:r>
    </w:p>
    <w:p w14:paraId="0B17BC28"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виявлення недостовірних відомостей у поданих документах або подання неповного комплекту документів.</w:t>
      </w:r>
    </w:p>
    <w:p w14:paraId="2899F2FF"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Орган з оцінки відповідності виключається з Реєстру органів з оцінки відповідності у сфері географічних зазначень на підставі рішення спеціально уповноваженого органу, зокрема, у разі невідповідності органу з оцінки відповідності вимогам, встановленим цим Законом (пункт 4 частини 7 статті 21 проєкту).</w:t>
      </w:r>
    </w:p>
    <w:p w14:paraId="350BD769"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При цьому, із положень законопроєкту неможливо чітко визначити:</w:t>
      </w:r>
    </w:p>
    <w:p w14:paraId="2253A885"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 в чому саме полягає </w:t>
      </w:r>
      <w:r w:rsidRPr="00ED11A3">
        <w:rPr>
          <w:rFonts w:ascii="Times New Roman" w:hAnsi="Times New Roman" w:cs="Times New Roman"/>
          <w:b/>
          <w:i/>
          <w:sz w:val="24"/>
          <w:szCs w:val="24"/>
          <w:lang w:eastAsia="ru-RU"/>
        </w:rPr>
        <w:t xml:space="preserve">відповідність </w:t>
      </w:r>
      <w:r w:rsidRPr="00ED11A3">
        <w:rPr>
          <w:rFonts w:ascii="Times New Roman" w:hAnsi="Times New Roman" w:cs="Times New Roman"/>
          <w:i/>
          <w:sz w:val="24"/>
          <w:szCs w:val="24"/>
          <w:lang w:eastAsia="ru-RU"/>
        </w:rPr>
        <w:t>рівня компетентності</w:t>
      </w:r>
      <w:r w:rsidRPr="00ED11A3">
        <w:rPr>
          <w:rFonts w:ascii="Times New Roman" w:hAnsi="Times New Roman" w:cs="Times New Roman"/>
          <w:sz w:val="24"/>
          <w:szCs w:val="24"/>
          <w:lang w:eastAsia="ru-RU"/>
        </w:rPr>
        <w:t xml:space="preserve"> персоналу, як необхідної умови внесення до Реєстру органів з оцінки відповідності у сфері географічних зазначень;</w:t>
      </w:r>
    </w:p>
    <w:p w14:paraId="7E74B3D4"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 який саме </w:t>
      </w:r>
      <w:r w:rsidRPr="00ED11A3">
        <w:rPr>
          <w:rFonts w:ascii="Times New Roman" w:hAnsi="Times New Roman" w:cs="Times New Roman"/>
          <w:b/>
          <w:i/>
          <w:sz w:val="24"/>
          <w:szCs w:val="24"/>
          <w:lang w:eastAsia="ru-RU"/>
        </w:rPr>
        <w:t>досвід роботи</w:t>
      </w:r>
      <w:r w:rsidRPr="00ED11A3">
        <w:rPr>
          <w:rFonts w:ascii="Times New Roman" w:hAnsi="Times New Roman" w:cs="Times New Roman"/>
          <w:sz w:val="24"/>
          <w:szCs w:val="24"/>
          <w:lang w:eastAsia="ru-RU"/>
        </w:rPr>
        <w:t xml:space="preserve"> персоналу є достатнім для внесення до Реєстру -  місяць, чи, наприклад, 2 роки чи 15 років;   </w:t>
      </w:r>
    </w:p>
    <w:p w14:paraId="5E23D116"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 критерії </w:t>
      </w:r>
      <w:r w:rsidRPr="00ED11A3">
        <w:rPr>
          <w:rFonts w:ascii="Times New Roman" w:hAnsi="Times New Roman" w:cs="Times New Roman"/>
          <w:b/>
          <w:i/>
          <w:sz w:val="24"/>
          <w:szCs w:val="24"/>
          <w:lang w:eastAsia="ru-RU"/>
        </w:rPr>
        <w:t>спеціальності</w:t>
      </w:r>
      <w:r w:rsidRPr="00ED11A3">
        <w:rPr>
          <w:rFonts w:ascii="Times New Roman" w:hAnsi="Times New Roman" w:cs="Times New Roman"/>
          <w:sz w:val="24"/>
          <w:szCs w:val="24"/>
          <w:lang w:eastAsia="ru-RU"/>
        </w:rPr>
        <w:t xml:space="preserve"> знань персоналу;</w:t>
      </w:r>
    </w:p>
    <w:p w14:paraId="1F19299D"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 спосіб </w:t>
      </w:r>
      <w:r w:rsidRPr="00ED11A3">
        <w:rPr>
          <w:rFonts w:ascii="Times New Roman" w:hAnsi="Times New Roman" w:cs="Times New Roman"/>
          <w:b/>
          <w:i/>
          <w:sz w:val="24"/>
          <w:szCs w:val="24"/>
          <w:lang w:eastAsia="ru-RU"/>
        </w:rPr>
        <w:t xml:space="preserve">підтвердження </w:t>
      </w:r>
      <w:r w:rsidRPr="00ED11A3">
        <w:rPr>
          <w:rFonts w:ascii="Times New Roman" w:hAnsi="Times New Roman" w:cs="Times New Roman"/>
          <w:sz w:val="24"/>
          <w:szCs w:val="24"/>
          <w:lang w:eastAsia="ru-RU"/>
        </w:rPr>
        <w:t xml:space="preserve">рівня компетентності.  </w:t>
      </w:r>
    </w:p>
    <w:p w14:paraId="235E1FBD"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Використання оціночних категорій “</w:t>
      </w:r>
      <w:r w:rsidRPr="00ED11A3">
        <w:rPr>
          <w:rFonts w:ascii="Times New Roman" w:hAnsi="Times New Roman" w:cs="Times New Roman"/>
          <w:b/>
          <w:i/>
          <w:sz w:val="24"/>
          <w:szCs w:val="24"/>
          <w:lang w:eastAsia="ru-RU"/>
        </w:rPr>
        <w:t>досвід роботи</w:t>
      </w:r>
      <w:r w:rsidRPr="00ED11A3">
        <w:rPr>
          <w:rFonts w:ascii="Times New Roman" w:hAnsi="Times New Roman" w:cs="Times New Roman"/>
          <w:sz w:val="24"/>
          <w:szCs w:val="24"/>
          <w:lang w:eastAsia="ru-RU"/>
        </w:rPr>
        <w:t>”, “</w:t>
      </w:r>
      <w:r w:rsidRPr="00ED11A3">
        <w:rPr>
          <w:rFonts w:ascii="Times New Roman" w:hAnsi="Times New Roman" w:cs="Times New Roman"/>
          <w:b/>
          <w:i/>
          <w:sz w:val="24"/>
          <w:szCs w:val="24"/>
          <w:lang w:eastAsia="ru-RU"/>
        </w:rPr>
        <w:t>відповідний рівень компетентності</w:t>
      </w:r>
      <w:r w:rsidRPr="00ED11A3">
        <w:rPr>
          <w:rFonts w:ascii="Times New Roman" w:hAnsi="Times New Roman" w:cs="Times New Roman"/>
          <w:sz w:val="24"/>
          <w:szCs w:val="24"/>
          <w:lang w:eastAsia="ru-RU"/>
        </w:rPr>
        <w:t>”, “</w:t>
      </w:r>
      <w:r w:rsidRPr="00ED11A3">
        <w:rPr>
          <w:rFonts w:ascii="Times New Roman" w:hAnsi="Times New Roman" w:cs="Times New Roman"/>
          <w:b/>
          <w:i/>
          <w:sz w:val="24"/>
          <w:szCs w:val="24"/>
          <w:lang w:eastAsia="ru-RU"/>
        </w:rPr>
        <w:t>спеціальні знання</w:t>
      </w:r>
      <w:r w:rsidRPr="00ED11A3">
        <w:rPr>
          <w:rFonts w:ascii="Times New Roman" w:hAnsi="Times New Roman" w:cs="Times New Roman"/>
          <w:sz w:val="24"/>
          <w:szCs w:val="24"/>
          <w:lang w:eastAsia="ru-RU"/>
        </w:rPr>
        <w:t xml:space="preserve">”, а також відсутність у законопроєкті чітко встановленого порядку </w:t>
      </w:r>
      <w:r w:rsidRPr="00ED11A3">
        <w:rPr>
          <w:rFonts w:ascii="Times New Roman" w:hAnsi="Times New Roman" w:cs="Times New Roman"/>
          <w:b/>
          <w:i/>
          <w:sz w:val="24"/>
          <w:szCs w:val="24"/>
          <w:lang w:eastAsia="ru-RU"/>
        </w:rPr>
        <w:t>підтвердження</w:t>
      </w:r>
      <w:r w:rsidRPr="00ED11A3">
        <w:rPr>
          <w:rFonts w:ascii="Times New Roman" w:hAnsi="Times New Roman" w:cs="Times New Roman"/>
          <w:sz w:val="24"/>
          <w:szCs w:val="24"/>
          <w:lang w:eastAsia="ru-RU"/>
        </w:rPr>
        <w:t xml:space="preserve"> рівня компетентності, допускає довільне тлумачення його положень. Як наслідок, спеціально уповноважений орган матиме змогу упереджено та суб'єктивно приймати рішення щодо внесення заявників до Реєстру органів з оцінки відповідності у сфері географічних зазначень, а також щодо виключення органів з оцінки відповідності із зазначеного реєстру. Це створює підстави для корупційних ризиків та зловживань під час регулювання діяльності органів з оцінки відповідності.</w:t>
      </w:r>
    </w:p>
    <w:p w14:paraId="6CF455DF"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Для усунення корупційних ризиків, в законопроєкті потрібно:</w:t>
      </w:r>
    </w:p>
    <w:p w14:paraId="748F3F66"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надати чітке визначення термінам “</w:t>
      </w:r>
      <w:r w:rsidRPr="00ED11A3">
        <w:rPr>
          <w:rFonts w:ascii="Times New Roman" w:hAnsi="Times New Roman" w:cs="Times New Roman"/>
          <w:i/>
          <w:sz w:val="24"/>
          <w:szCs w:val="24"/>
          <w:lang w:eastAsia="ru-RU"/>
        </w:rPr>
        <w:t>досвід роботи</w:t>
      </w:r>
      <w:r w:rsidRPr="00ED11A3">
        <w:rPr>
          <w:rFonts w:ascii="Times New Roman" w:hAnsi="Times New Roman" w:cs="Times New Roman"/>
          <w:sz w:val="24"/>
          <w:szCs w:val="24"/>
          <w:lang w:eastAsia="ru-RU"/>
        </w:rPr>
        <w:t>”, “</w:t>
      </w:r>
      <w:r w:rsidRPr="00ED11A3">
        <w:rPr>
          <w:rFonts w:ascii="Times New Roman" w:hAnsi="Times New Roman" w:cs="Times New Roman"/>
          <w:i/>
          <w:sz w:val="24"/>
          <w:szCs w:val="24"/>
          <w:lang w:eastAsia="ru-RU"/>
        </w:rPr>
        <w:t>відповідний рівень компетентності</w:t>
      </w:r>
      <w:r w:rsidRPr="00ED11A3">
        <w:rPr>
          <w:rFonts w:ascii="Times New Roman" w:hAnsi="Times New Roman" w:cs="Times New Roman"/>
          <w:sz w:val="24"/>
          <w:szCs w:val="24"/>
          <w:lang w:eastAsia="ru-RU"/>
        </w:rPr>
        <w:t>” та “</w:t>
      </w:r>
      <w:r w:rsidRPr="00ED11A3">
        <w:rPr>
          <w:rFonts w:ascii="Times New Roman" w:hAnsi="Times New Roman" w:cs="Times New Roman"/>
          <w:i/>
          <w:sz w:val="24"/>
          <w:szCs w:val="24"/>
          <w:lang w:eastAsia="ru-RU"/>
        </w:rPr>
        <w:t>спеціальні знання</w:t>
      </w:r>
      <w:r w:rsidRPr="00ED11A3">
        <w:rPr>
          <w:rFonts w:ascii="Times New Roman" w:hAnsi="Times New Roman" w:cs="Times New Roman"/>
          <w:sz w:val="24"/>
          <w:szCs w:val="24"/>
          <w:lang w:eastAsia="ru-RU"/>
        </w:rPr>
        <w:t>”;</w:t>
      </w:r>
    </w:p>
    <w:p w14:paraId="368021C5"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 встановити порядок підтвердження рівня компетентності. </w:t>
      </w:r>
    </w:p>
    <w:p w14:paraId="6C9C43D4"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sz w:val="24"/>
          <w:szCs w:val="24"/>
          <w:lang w:eastAsia="ru-RU"/>
        </w:rPr>
      </w:pPr>
    </w:p>
    <w:p w14:paraId="41E2FDDF"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sz w:val="24"/>
          <w:szCs w:val="24"/>
          <w:lang w:eastAsia="ru-RU"/>
        </w:rPr>
      </w:pPr>
      <w:r w:rsidRPr="00ED11A3">
        <w:rPr>
          <w:rFonts w:ascii="Times New Roman" w:hAnsi="Times New Roman" w:cs="Times New Roman"/>
          <w:b/>
          <w:sz w:val="24"/>
          <w:szCs w:val="24"/>
          <w:lang w:eastAsia="ru-RU"/>
        </w:rPr>
        <w:t>Інші зауваження</w:t>
      </w:r>
    </w:p>
    <w:p w14:paraId="3C32368B"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1. Відповідно до пункту 18 частини 1 статті 1 законопроєкту </w:t>
      </w:r>
      <w:r w:rsidRPr="00ED11A3">
        <w:rPr>
          <w:rFonts w:ascii="Times New Roman" w:hAnsi="Times New Roman" w:cs="Times New Roman"/>
          <w:b/>
          <w:sz w:val="24"/>
          <w:szCs w:val="24"/>
          <w:lang w:eastAsia="ru-RU"/>
        </w:rPr>
        <w:t>органи з оцінки відповідності</w:t>
      </w:r>
      <w:r w:rsidRPr="00ED11A3">
        <w:rPr>
          <w:rFonts w:ascii="Times New Roman" w:hAnsi="Times New Roman" w:cs="Times New Roman"/>
          <w:sz w:val="24"/>
          <w:szCs w:val="24"/>
          <w:lang w:eastAsia="ru-RU"/>
        </w:rPr>
        <w:t xml:space="preserve"> - це підприємства, установи, організації, акредитовані національним органом України з акредитації, </w:t>
      </w:r>
      <w:r w:rsidRPr="00ED11A3">
        <w:rPr>
          <w:rFonts w:ascii="Times New Roman" w:hAnsi="Times New Roman" w:cs="Times New Roman"/>
          <w:b/>
          <w:sz w:val="24"/>
          <w:szCs w:val="24"/>
          <w:lang w:eastAsia="ru-RU"/>
        </w:rPr>
        <w:t>призначені</w:t>
      </w:r>
      <w:r w:rsidRPr="00ED11A3">
        <w:rPr>
          <w:rFonts w:ascii="Times New Roman" w:hAnsi="Times New Roman" w:cs="Times New Roman"/>
          <w:sz w:val="24"/>
          <w:szCs w:val="24"/>
          <w:lang w:eastAsia="ru-RU"/>
        </w:rPr>
        <w:t xml:space="preserve"> спеціально уповноваженим органом на проведення оцінки відповідності спиртного напою із зареєстрованим географічним зазначенням вимогам специфікації і внесені до Реєстру органів з оцінки відповідності в сфері географічних зазначень.</w:t>
      </w:r>
    </w:p>
    <w:p w14:paraId="6D6346DD"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Проте зазначене положення не враховує, що згідно із частиною 4 статті 25 Закону України “</w:t>
      </w:r>
      <w:r w:rsidRPr="00ED11A3">
        <w:rPr>
          <w:rFonts w:ascii="Times New Roman" w:hAnsi="Times New Roman" w:cs="Times New Roman"/>
          <w:sz w:val="24"/>
          <w:szCs w:val="24"/>
          <w:highlight w:val="white"/>
          <w:lang w:eastAsia="ru-RU"/>
        </w:rPr>
        <w:t>Про технічні регламенти та оцінку відповідності</w:t>
      </w:r>
      <w:r w:rsidRPr="00ED11A3">
        <w:rPr>
          <w:rFonts w:ascii="Times New Roman" w:hAnsi="Times New Roman" w:cs="Times New Roman"/>
          <w:sz w:val="24"/>
          <w:szCs w:val="24"/>
          <w:lang w:eastAsia="ru-RU"/>
        </w:rPr>
        <w:t xml:space="preserve">” для виконання завдань з оцінки відповідності вимогам технічних регламентів, крім </w:t>
      </w:r>
      <w:r w:rsidRPr="00ED11A3">
        <w:rPr>
          <w:rFonts w:ascii="Times New Roman" w:hAnsi="Times New Roman" w:cs="Times New Roman"/>
          <w:b/>
          <w:i/>
          <w:sz w:val="24"/>
          <w:szCs w:val="24"/>
          <w:lang w:eastAsia="ru-RU"/>
        </w:rPr>
        <w:t>призначених органів</w:t>
      </w:r>
      <w:r w:rsidRPr="00ED11A3">
        <w:rPr>
          <w:rFonts w:ascii="Times New Roman" w:hAnsi="Times New Roman" w:cs="Times New Roman"/>
          <w:sz w:val="24"/>
          <w:szCs w:val="24"/>
          <w:lang w:eastAsia="ru-RU"/>
        </w:rPr>
        <w:t xml:space="preserve">, можуть бути залучені також </w:t>
      </w:r>
      <w:r w:rsidRPr="00ED11A3">
        <w:rPr>
          <w:rFonts w:ascii="Times New Roman" w:hAnsi="Times New Roman" w:cs="Times New Roman"/>
          <w:b/>
          <w:i/>
          <w:sz w:val="24"/>
          <w:szCs w:val="24"/>
          <w:lang w:eastAsia="ru-RU"/>
        </w:rPr>
        <w:t>визнані незалежні організації</w:t>
      </w:r>
      <w:r w:rsidRPr="00ED11A3">
        <w:rPr>
          <w:rFonts w:ascii="Times New Roman" w:hAnsi="Times New Roman" w:cs="Times New Roman"/>
          <w:sz w:val="24"/>
          <w:szCs w:val="24"/>
          <w:lang w:eastAsia="ru-RU"/>
        </w:rPr>
        <w:t xml:space="preserve"> та </w:t>
      </w:r>
      <w:r w:rsidRPr="00ED11A3">
        <w:rPr>
          <w:rFonts w:ascii="Times New Roman" w:hAnsi="Times New Roman" w:cs="Times New Roman"/>
          <w:b/>
          <w:i/>
          <w:sz w:val="24"/>
          <w:szCs w:val="24"/>
          <w:lang w:eastAsia="ru-RU"/>
        </w:rPr>
        <w:t>акредитовані внутрішні органи з оцінки відповідності виробників</w:t>
      </w:r>
      <w:r w:rsidRPr="00ED11A3">
        <w:rPr>
          <w:rFonts w:ascii="Times New Roman" w:hAnsi="Times New Roman" w:cs="Times New Roman"/>
          <w:sz w:val="24"/>
          <w:szCs w:val="24"/>
          <w:lang w:eastAsia="ru-RU"/>
        </w:rPr>
        <w:t>.</w:t>
      </w:r>
    </w:p>
    <w:p w14:paraId="14A27A5C"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p>
    <w:p w14:paraId="383CC874"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2. Частиною 1 статті 3 законопроєкту право на реєстрацію географічного зазначення спиртного напою надається </w:t>
      </w:r>
      <w:r w:rsidRPr="00ED11A3">
        <w:rPr>
          <w:rFonts w:ascii="Times New Roman" w:hAnsi="Times New Roman" w:cs="Times New Roman"/>
          <w:b/>
          <w:sz w:val="24"/>
          <w:szCs w:val="24"/>
          <w:lang w:eastAsia="ru-RU"/>
        </w:rPr>
        <w:t xml:space="preserve">виробнику </w:t>
      </w:r>
      <w:r w:rsidRPr="00ED11A3">
        <w:rPr>
          <w:rFonts w:ascii="Times New Roman" w:hAnsi="Times New Roman" w:cs="Times New Roman"/>
          <w:sz w:val="24"/>
          <w:szCs w:val="24"/>
          <w:lang w:eastAsia="ru-RU"/>
        </w:rPr>
        <w:t xml:space="preserve">або </w:t>
      </w:r>
      <w:r w:rsidRPr="00ED11A3">
        <w:rPr>
          <w:rFonts w:ascii="Times New Roman" w:hAnsi="Times New Roman" w:cs="Times New Roman"/>
          <w:b/>
          <w:sz w:val="24"/>
          <w:szCs w:val="24"/>
          <w:lang w:eastAsia="ru-RU"/>
        </w:rPr>
        <w:t>об’єднанню виробників</w:t>
      </w:r>
      <w:r w:rsidRPr="00ED11A3">
        <w:rPr>
          <w:rFonts w:ascii="Times New Roman" w:hAnsi="Times New Roman" w:cs="Times New Roman"/>
          <w:sz w:val="24"/>
          <w:szCs w:val="24"/>
          <w:lang w:eastAsia="ru-RU"/>
        </w:rPr>
        <w:t>.</w:t>
      </w:r>
    </w:p>
    <w:p w14:paraId="0EE2EA5A" w14:textId="77777777" w:rsidR="00ED11A3" w:rsidRPr="00ED11A3" w:rsidRDefault="00ED11A3" w:rsidP="00ED11A3">
      <w:pPr>
        <w:tabs>
          <w:tab w:val="left" w:pos="0"/>
          <w:tab w:val="left" w:pos="8931"/>
        </w:tabs>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Відповідно до частини 2 статті 3 проєкту </w:t>
      </w:r>
      <w:r w:rsidRPr="00ED11A3">
        <w:rPr>
          <w:rFonts w:ascii="Times New Roman" w:hAnsi="Times New Roman" w:cs="Times New Roman"/>
          <w:b/>
          <w:sz w:val="24"/>
          <w:szCs w:val="24"/>
          <w:lang w:eastAsia="ru-RU"/>
        </w:rPr>
        <w:t>один виробник</w:t>
      </w:r>
      <w:r w:rsidRPr="00ED11A3">
        <w:rPr>
          <w:rFonts w:ascii="Times New Roman" w:hAnsi="Times New Roman" w:cs="Times New Roman"/>
          <w:sz w:val="24"/>
          <w:szCs w:val="24"/>
          <w:lang w:eastAsia="ru-RU"/>
        </w:rPr>
        <w:t xml:space="preserve"> має право на реєстрацію географічного зазначення спиртного напою, якщо:</w:t>
      </w:r>
    </w:p>
    <w:p w14:paraId="32453ADD" w14:textId="77777777" w:rsidR="00ED11A3" w:rsidRPr="00ED11A3" w:rsidRDefault="00ED11A3" w:rsidP="00ED11A3">
      <w:pPr>
        <w:tabs>
          <w:tab w:val="left" w:pos="0"/>
          <w:tab w:val="left" w:pos="1235"/>
          <w:tab w:val="left" w:pos="8931"/>
        </w:tabs>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він є єдиним виробником спиртного напою в визначеному географічному місці та бажає подати заявку на реєстрацію географічного зазначення;</w:t>
      </w:r>
    </w:p>
    <w:p w14:paraId="24F004A8" w14:textId="77777777" w:rsidR="00ED11A3" w:rsidRPr="00ED11A3" w:rsidRDefault="00ED11A3" w:rsidP="00ED11A3">
      <w:pPr>
        <w:tabs>
          <w:tab w:val="left" w:pos="0"/>
          <w:tab w:val="left" w:pos="1235"/>
          <w:tab w:val="left" w:pos="8931"/>
        </w:tabs>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 географічна територія, на якій виробляється спиртний напій, має характеристики, які істотно відрізняються від прилеглих територій, або характеристики спиртного напою відрізняються від спиртних напоїв, що виробляються на прилеглих територіях, або </w:t>
      </w:r>
      <w:r w:rsidRPr="00ED11A3">
        <w:rPr>
          <w:rFonts w:ascii="Times New Roman" w:hAnsi="Times New Roman" w:cs="Times New Roman"/>
          <w:sz w:val="24"/>
          <w:szCs w:val="24"/>
          <w:lang w:eastAsia="ru-RU"/>
        </w:rPr>
        <w:lastRenderedPageBreak/>
        <w:t>спиртний напій має особливу якість, репутацію чи інші характеристики, обумовлені саме його географічним походженням.</w:t>
      </w:r>
    </w:p>
    <w:p w14:paraId="26EF68BD" w14:textId="77777777" w:rsidR="00ED11A3" w:rsidRPr="00ED11A3" w:rsidRDefault="00ED11A3" w:rsidP="00ED11A3">
      <w:pPr>
        <w:tabs>
          <w:tab w:val="left" w:pos="0"/>
          <w:tab w:val="left" w:pos="1235"/>
          <w:tab w:val="left" w:pos="8931"/>
        </w:tabs>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Водночас, законопроєктом не встановлено умови, за яких право не реєстрацію географічного зазначення спиртного напою матиме </w:t>
      </w:r>
      <w:r w:rsidRPr="00ED11A3">
        <w:rPr>
          <w:rFonts w:ascii="Times New Roman" w:hAnsi="Times New Roman" w:cs="Times New Roman"/>
          <w:b/>
          <w:sz w:val="24"/>
          <w:szCs w:val="24"/>
          <w:lang w:eastAsia="ru-RU"/>
        </w:rPr>
        <w:t>об'єднання виробників</w:t>
      </w:r>
      <w:r w:rsidRPr="00ED11A3">
        <w:rPr>
          <w:rFonts w:ascii="Times New Roman" w:hAnsi="Times New Roman" w:cs="Times New Roman"/>
          <w:sz w:val="24"/>
          <w:szCs w:val="24"/>
          <w:lang w:eastAsia="ru-RU"/>
        </w:rPr>
        <w:t xml:space="preserve">. </w:t>
      </w:r>
    </w:p>
    <w:p w14:paraId="4991EDFB" w14:textId="77777777" w:rsidR="00ED11A3" w:rsidRPr="00ED11A3" w:rsidRDefault="00ED11A3" w:rsidP="00ED11A3">
      <w:pPr>
        <w:tabs>
          <w:tab w:val="left" w:pos="0"/>
          <w:tab w:val="left" w:pos="1235"/>
          <w:tab w:val="left" w:pos="8931"/>
        </w:tabs>
        <w:spacing w:line="240" w:lineRule="auto"/>
        <w:ind w:leftChars="0" w:left="0" w:firstLineChars="0" w:firstLine="720"/>
        <w:jc w:val="both"/>
        <w:outlineLvl w:val="9"/>
        <w:rPr>
          <w:rFonts w:ascii="Times New Roman" w:hAnsi="Times New Roman" w:cs="Times New Roman"/>
          <w:sz w:val="24"/>
          <w:szCs w:val="24"/>
          <w:lang w:eastAsia="ru-RU"/>
        </w:rPr>
      </w:pPr>
    </w:p>
    <w:p w14:paraId="7E638F6B" w14:textId="77777777" w:rsidR="00ED11A3" w:rsidRPr="00ED11A3" w:rsidRDefault="00ED11A3" w:rsidP="00ED11A3">
      <w:pPr>
        <w:tabs>
          <w:tab w:val="left" w:pos="0"/>
          <w:tab w:val="left" w:pos="1235"/>
          <w:tab w:val="left" w:pos="8931"/>
        </w:tabs>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3. Законопроєктом застосовуються визначення того чи іншого строку (частини 4 та 6 статті 6, частина 3 статті 7, частина 5 статті 8, частина 1 статті 9, частини 3 та 5 статті 13, частина 5 статті 21, стаття 22, частини 2 та 9 статті 23) у вигляді “</w:t>
      </w:r>
      <w:r w:rsidRPr="00ED11A3">
        <w:rPr>
          <w:rFonts w:ascii="Times New Roman" w:hAnsi="Times New Roman" w:cs="Times New Roman"/>
          <w:i/>
          <w:sz w:val="24"/>
          <w:szCs w:val="24"/>
          <w:lang w:eastAsia="ru-RU"/>
        </w:rPr>
        <w:t>днів</w:t>
      </w:r>
      <w:r w:rsidRPr="00ED11A3">
        <w:rPr>
          <w:rFonts w:ascii="Times New Roman" w:hAnsi="Times New Roman" w:cs="Times New Roman"/>
          <w:sz w:val="24"/>
          <w:szCs w:val="24"/>
          <w:lang w:eastAsia="ru-RU"/>
        </w:rPr>
        <w:t>” та “</w:t>
      </w:r>
      <w:r w:rsidRPr="00ED11A3">
        <w:rPr>
          <w:rFonts w:ascii="Times New Roman" w:hAnsi="Times New Roman" w:cs="Times New Roman"/>
          <w:i/>
          <w:sz w:val="24"/>
          <w:szCs w:val="24"/>
          <w:lang w:eastAsia="ru-RU"/>
        </w:rPr>
        <w:t>робочих днів</w:t>
      </w:r>
      <w:r w:rsidRPr="00ED11A3">
        <w:rPr>
          <w:rFonts w:ascii="Times New Roman" w:hAnsi="Times New Roman" w:cs="Times New Roman"/>
          <w:sz w:val="24"/>
          <w:szCs w:val="24"/>
          <w:lang w:eastAsia="ru-RU"/>
        </w:rPr>
        <w:t>”.</w:t>
      </w:r>
    </w:p>
    <w:p w14:paraId="4C8208E3"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Враховуючи вимоги нормопроектувальної техніки, пропонуємо визначити єдиний підхід до встановлення часових меж, що буде сприяти єдності термінології.</w:t>
      </w:r>
    </w:p>
    <w:p w14:paraId="339BC09C"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sz w:val="24"/>
          <w:szCs w:val="24"/>
          <w:lang w:eastAsia="ru-RU"/>
        </w:rPr>
      </w:pPr>
      <w:r w:rsidRPr="00ED11A3">
        <w:rPr>
          <w:rFonts w:ascii="Times New Roman" w:hAnsi="Times New Roman" w:cs="Times New Roman"/>
          <w:b/>
          <w:sz w:val="24"/>
          <w:szCs w:val="24"/>
          <w:lang w:eastAsia="ru-RU"/>
        </w:rPr>
        <w:t xml:space="preserve"> </w:t>
      </w:r>
    </w:p>
    <w:p w14:paraId="7938F9D5"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sz w:val="24"/>
          <w:szCs w:val="24"/>
          <w:lang w:eastAsia="ru-RU"/>
        </w:rPr>
      </w:pPr>
      <w:r w:rsidRPr="00ED11A3">
        <w:rPr>
          <w:rFonts w:ascii="Times New Roman" w:hAnsi="Times New Roman" w:cs="Times New Roman"/>
          <w:b/>
          <w:sz w:val="24"/>
          <w:szCs w:val="24"/>
          <w:lang w:eastAsia="ru-RU"/>
        </w:rPr>
        <w:t>Висновок</w:t>
      </w:r>
    </w:p>
    <w:p w14:paraId="19D5666E"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b/>
          <w:i/>
          <w:sz w:val="24"/>
          <w:szCs w:val="24"/>
          <w:lang w:eastAsia="ru-RU"/>
        </w:rPr>
        <w:t>Інститут законодавчих ідей не заперечує проти прийняття законопроєкту за умови його доопрацювання з урахуванням висловлених зауважень</w:t>
      </w:r>
    </w:p>
    <w:p w14:paraId="2AC73BCA"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p>
    <w:p w14:paraId="384D8635"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b/>
          <w:sz w:val="24"/>
          <w:szCs w:val="24"/>
          <w:lang w:eastAsia="ru-RU"/>
        </w:rPr>
      </w:pPr>
      <w:r w:rsidRPr="00ED11A3">
        <w:rPr>
          <w:rFonts w:ascii="Times New Roman" w:hAnsi="Times New Roman" w:cs="Times New Roman"/>
          <w:b/>
          <w:sz w:val="24"/>
          <w:szCs w:val="24"/>
          <w:lang w:eastAsia="ru-RU"/>
        </w:rPr>
        <w:t xml:space="preserve">Позиції державних </w:t>
      </w:r>
      <w:proofErr w:type="spellStart"/>
      <w:r w:rsidRPr="00ED11A3">
        <w:rPr>
          <w:rFonts w:ascii="Times New Roman" w:hAnsi="Times New Roman" w:cs="Times New Roman"/>
          <w:b/>
          <w:sz w:val="24"/>
          <w:szCs w:val="24"/>
          <w:lang w:eastAsia="ru-RU"/>
        </w:rPr>
        <w:t>стейкхолдерів</w:t>
      </w:r>
      <w:proofErr w:type="spellEnd"/>
      <w:r w:rsidRPr="00ED11A3">
        <w:rPr>
          <w:rFonts w:ascii="Times New Roman" w:hAnsi="Times New Roman" w:cs="Times New Roman"/>
          <w:b/>
          <w:sz w:val="24"/>
          <w:szCs w:val="24"/>
          <w:vertAlign w:val="superscript"/>
          <w:lang w:eastAsia="ru-RU"/>
        </w:rPr>
        <w:footnoteReference w:id="1"/>
      </w:r>
      <w:bookmarkStart w:id="1" w:name="_GoBack"/>
      <w:bookmarkEnd w:id="1"/>
    </w:p>
    <w:p w14:paraId="11226038"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lang w:eastAsia="ru-RU"/>
        </w:rPr>
      </w:pPr>
      <w:r w:rsidRPr="00ED11A3">
        <w:rPr>
          <w:rFonts w:ascii="Times New Roman" w:hAnsi="Times New Roman" w:cs="Times New Roman"/>
          <w:sz w:val="24"/>
          <w:szCs w:val="24"/>
          <w:lang w:eastAsia="ru-RU"/>
        </w:rPr>
        <w:t xml:space="preserve">Міністерство фінансів України </w:t>
      </w:r>
      <w:r w:rsidRPr="00ED11A3">
        <w:rPr>
          <w:rFonts w:ascii="Times New Roman" w:hAnsi="Times New Roman" w:cs="Times New Roman"/>
          <w:b/>
          <w:sz w:val="24"/>
          <w:szCs w:val="24"/>
          <w:lang w:eastAsia="ru-RU"/>
        </w:rPr>
        <w:t xml:space="preserve">зауважень </w:t>
      </w:r>
      <w:r w:rsidRPr="00ED11A3">
        <w:rPr>
          <w:rFonts w:ascii="Times New Roman" w:hAnsi="Times New Roman" w:cs="Times New Roman"/>
          <w:sz w:val="24"/>
          <w:szCs w:val="24"/>
          <w:lang w:eastAsia="ru-RU"/>
        </w:rPr>
        <w:t xml:space="preserve">до проєкту </w:t>
      </w:r>
      <w:r w:rsidRPr="00ED11A3">
        <w:rPr>
          <w:rFonts w:ascii="Times New Roman" w:hAnsi="Times New Roman" w:cs="Times New Roman"/>
          <w:b/>
          <w:sz w:val="24"/>
          <w:szCs w:val="24"/>
          <w:lang w:eastAsia="ru-RU"/>
        </w:rPr>
        <w:t>не має</w:t>
      </w:r>
      <w:r w:rsidRPr="00ED11A3">
        <w:rPr>
          <w:rFonts w:ascii="Times New Roman" w:hAnsi="Times New Roman" w:cs="Times New Roman"/>
          <w:sz w:val="24"/>
          <w:szCs w:val="24"/>
          <w:lang w:eastAsia="ru-RU"/>
        </w:rPr>
        <w:t xml:space="preserve">. </w:t>
      </w:r>
    </w:p>
    <w:p w14:paraId="6ED20A53"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highlight w:val="green"/>
          <w:lang w:eastAsia="ru-RU"/>
        </w:rPr>
      </w:pPr>
    </w:p>
    <w:p w14:paraId="0AE30505" w14:textId="77777777" w:rsidR="00ED11A3" w:rsidRPr="00ED11A3" w:rsidRDefault="00ED11A3" w:rsidP="00ED11A3">
      <w:pPr>
        <w:spacing w:line="240" w:lineRule="auto"/>
        <w:ind w:leftChars="0" w:left="0" w:firstLineChars="0" w:firstLine="720"/>
        <w:jc w:val="both"/>
        <w:outlineLvl w:val="9"/>
        <w:rPr>
          <w:rFonts w:ascii="Times New Roman" w:hAnsi="Times New Roman" w:cs="Times New Roman"/>
          <w:sz w:val="24"/>
          <w:szCs w:val="24"/>
          <w:highlight w:val="green"/>
          <w:lang w:eastAsia="ru-RU"/>
        </w:rPr>
      </w:pPr>
    </w:p>
    <w:p w14:paraId="0D9F5F7E" w14:textId="77777777" w:rsidR="00EC5A17" w:rsidRPr="00B43FCC" w:rsidRDefault="00EC5A17" w:rsidP="00ED11A3">
      <w:pPr>
        <w:suppressAutoHyphens w:val="0"/>
        <w:spacing w:line="240" w:lineRule="auto"/>
        <w:ind w:leftChars="0" w:left="0" w:firstLineChars="0" w:firstLine="567"/>
        <w:jc w:val="both"/>
        <w:textDirection w:val="lrTb"/>
        <w:textAlignment w:val="auto"/>
        <w:outlineLvl w:val="9"/>
        <w:rPr>
          <w:rFonts w:ascii="Times New Roman" w:hAnsi="Times New Roman" w:cs="Times New Roman"/>
          <w:color w:val="auto"/>
          <w:position w:val="0"/>
          <w:sz w:val="24"/>
          <w:szCs w:val="24"/>
          <w:lang w:eastAsia="ru-RU"/>
        </w:rPr>
      </w:pPr>
    </w:p>
    <w:sectPr w:rsidR="00EC5A17" w:rsidRPr="00B43FCC" w:rsidSect="00507828">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B263F3" w14:textId="77777777" w:rsidR="009E47D8" w:rsidRDefault="009E47D8" w:rsidP="00FE5815">
      <w:pPr>
        <w:spacing w:line="240" w:lineRule="auto"/>
        <w:ind w:left="0" w:hanging="2"/>
      </w:pPr>
      <w:r>
        <w:separator/>
      </w:r>
    </w:p>
  </w:endnote>
  <w:endnote w:type="continuationSeparator" w:id="0">
    <w:p w14:paraId="02DF00ED" w14:textId="77777777" w:rsidR="009E47D8" w:rsidRDefault="009E47D8" w:rsidP="00FE581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tiqu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2CA80" w14:textId="77777777" w:rsidR="00507828" w:rsidRDefault="00507828">
    <w:pPr>
      <w:pStyle w:val="af0"/>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901F2" w14:textId="77777777" w:rsidR="00507828" w:rsidRDefault="00507828">
    <w:pPr>
      <w:pStyle w:val="af0"/>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0436F" w14:textId="77777777" w:rsidR="00507828" w:rsidRDefault="00507828">
    <w:pPr>
      <w:pStyle w:val="af0"/>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510D2B" w14:textId="77777777" w:rsidR="009E47D8" w:rsidRDefault="009E47D8" w:rsidP="00FE5815">
      <w:pPr>
        <w:spacing w:line="240" w:lineRule="auto"/>
        <w:ind w:left="0" w:hanging="2"/>
      </w:pPr>
      <w:r>
        <w:separator/>
      </w:r>
    </w:p>
  </w:footnote>
  <w:footnote w:type="continuationSeparator" w:id="0">
    <w:p w14:paraId="527EC907" w14:textId="77777777" w:rsidR="009E47D8" w:rsidRDefault="009E47D8" w:rsidP="00FE5815">
      <w:pPr>
        <w:spacing w:line="240" w:lineRule="auto"/>
        <w:ind w:left="0" w:hanging="2"/>
      </w:pPr>
      <w:r>
        <w:continuationSeparator/>
      </w:r>
    </w:p>
  </w:footnote>
  <w:footnote w:id="1">
    <w:p w14:paraId="424455D3" w14:textId="77777777" w:rsidR="00ED11A3" w:rsidRDefault="00ED11A3" w:rsidP="00ED11A3">
      <w:pPr>
        <w:spacing w:line="240" w:lineRule="auto"/>
        <w:ind w:left="0" w:hanging="2"/>
      </w:pPr>
      <w:r>
        <w:rPr>
          <w:vertAlign w:val="superscript"/>
        </w:rPr>
        <w:footnoteRef/>
      </w:r>
      <w:r>
        <w:rPr>
          <w:sz w:val="20"/>
        </w:rPr>
        <w:t xml:space="preserve"> </w:t>
      </w:r>
      <w:hyperlink r:id="rId1">
        <w:r>
          <w:rPr>
            <w:color w:val="1155CC"/>
            <w:sz w:val="20"/>
            <w:u w:val="single"/>
          </w:rPr>
          <w:t>https://www.kmu.gov.ua/bills/proekt-zakonu-pro-geografichni-zaznachennya-spirtnikh-napoiv</w:t>
        </w:r>
      </w:hyperlink>
      <w:r>
        <w:rPr>
          <w:sz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9515F" w14:textId="77777777" w:rsidR="00507828" w:rsidRDefault="00507828">
    <w:pPr>
      <w:pStyle w:val="ae"/>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2DAF6" w14:textId="77777777" w:rsidR="00507828" w:rsidRDefault="00507828">
    <w:pPr>
      <w:pStyle w:val="ae"/>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8EBC8" w14:textId="77777777" w:rsidR="00ED4132" w:rsidRDefault="00ED4132">
    <w:pPr>
      <w:widowControl w:val="0"/>
      <w:ind w:left="0" w:hanging="2"/>
      <w:rPr>
        <w:sz w:val="20"/>
      </w:rPr>
    </w:pPr>
  </w:p>
  <w:tbl>
    <w:tblPr>
      <w:tblW w:w="971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2977"/>
      <w:gridCol w:w="3623"/>
      <w:gridCol w:w="3119"/>
    </w:tblGrid>
    <w:tr w:rsidR="00507828" w14:paraId="0FB5E712" w14:textId="77777777" w:rsidTr="00507828">
      <w:trPr>
        <w:trHeight w:val="2196"/>
      </w:trPr>
      <w:tc>
        <w:tcPr>
          <w:tcW w:w="2977" w:type="dxa"/>
          <w:tcBorders>
            <w:top w:val="nil"/>
            <w:left w:val="nil"/>
            <w:bottom w:val="single" w:sz="4" w:space="0" w:color="000000"/>
            <w:right w:val="nil"/>
          </w:tcBorders>
          <w:tcMar>
            <w:top w:w="80" w:type="dxa"/>
            <w:left w:w="80" w:type="dxa"/>
            <w:bottom w:w="80" w:type="dxa"/>
            <w:right w:w="80" w:type="dxa"/>
          </w:tcMar>
        </w:tcPr>
        <w:p w14:paraId="2AFA2788" w14:textId="77777777" w:rsidR="00507828" w:rsidRPr="00AC7EBE" w:rsidRDefault="00507828" w:rsidP="00507828">
          <w:pPr>
            <w:spacing w:before="120"/>
            <w:ind w:left="0" w:hanging="2"/>
            <w:rPr>
              <w:rFonts w:ascii="Cambria" w:hAnsi="Cambria" w:cs="Cambria"/>
              <w:color w:val="333399"/>
            </w:rPr>
          </w:pPr>
          <w:r>
            <w:rPr>
              <w:rFonts w:ascii="Cambria" w:hAnsi="Cambria" w:cs="Cambria"/>
              <w:b/>
              <w:color w:val="333399"/>
            </w:rPr>
            <w:t xml:space="preserve">       </w:t>
          </w:r>
          <w:r w:rsidRPr="00AC7EBE">
            <w:rPr>
              <w:rFonts w:ascii="Cambria" w:hAnsi="Cambria" w:cs="Cambria"/>
              <w:b/>
              <w:color w:val="333399"/>
            </w:rPr>
            <w:t xml:space="preserve">      </w:t>
          </w:r>
        </w:p>
        <w:p w14:paraId="59CB5802" w14:textId="77777777" w:rsidR="00507828" w:rsidRPr="00AC7EBE" w:rsidRDefault="00507828" w:rsidP="00507828">
          <w:pPr>
            <w:spacing w:before="120"/>
            <w:ind w:left="0" w:hanging="2"/>
            <w:jc w:val="center"/>
            <w:rPr>
              <w:rFonts w:ascii="Times New Roman" w:hAnsi="Times New Roman" w:cs="Times New Roman"/>
              <w:color w:val="020000"/>
              <w:sz w:val="24"/>
              <w:szCs w:val="24"/>
            </w:rPr>
          </w:pPr>
          <w:r w:rsidRPr="00AC7EBE">
            <w:rPr>
              <w:rFonts w:ascii="Times New Roman" w:hAnsi="Times New Roman" w:cs="Times New Roman"/>
              <w:b/>
              <w:color w:val="020000"/>
              <w:sz w:val="24"/>
              <w:szCs w:val="24"/>
            </w:rPr>
            <w:t>Аналітичний центр «Інститут законодавчих ідей»</w:t>
          </w:r>
        </w:p>
        <w:p w14:paraId="68FC2921" w14:textId="77777777" w:rsidR="00507828" w:rsidRPr="00AC7EBE" w:rsidRDefault="00507828" w:rsidP="00507828">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office@izi.institute</w:t>
          </w:r>
          <w:proofErr w:type="spellEnd"/>
        </w:p>
        <w:p w14:paraId="2CC2C01D" w14:textId="77777777" w:rsidR="00507828" w:rsidRPr="00AC7EBE" w:rsidRDefault="00507828" w:rsidP="00507828">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izi.institute</w:t>
          </w:r>
          <w:proofErr w:type="spellEnd"/>
        </w:p>
        <w:p w14:paraId="4650EC4E" w14:textId="77777777" w:rsidR="00507828" w:rsidRDefault="00507828" w:rsidP="00507828">
          <w:pPr>
            <w:ind w:left="0" w:hanging="2"/>
            <w:jc w:val="center"/>
          </w:pPr>
          <w:r w:rsidRPr="00AC7EBE">
            <w:rPr>
              <w:rFonts w:ascii="Times New Roman" w:hAnsi="Times New Roman" w:cs="Times New Roman"/>
              <w:sz w:val="24"/>
              <w:szCs w:val="24"/>
            </w:rPr>
            <w:t>+38 (063) 763-85-09</w:t>
          </w:r>
        </w:p>
      </w:tc>
      <w:tc>
        <w:tcPr>
          <w:tcW w:w="3623" w:type="dxa"/>
          <w:tcBorders>
            <w:top w:val="nil"/>
            <w:left w:val="nil"/>
            <w:bottom w:val="single" w:sz="4" w:space="0" w:color="000000"/>
            <w:right w:val="nil"/>
          </w:tcBorders>
          <w:tcMar>
            <w:top w:w="80" w:type="dxa"/>
            <w:left w:w="80" w:type="dxa"/>
            <w:bottom w:w="80" w:type="dxa"/>
            <w:right w:w="80" w:type="dxa"/>
          </w:tcMar>
        </w:tcPr>
        <w:p w14:paraId="29864906" w14:textId="77777777" w:rsidR="00507828" w:rsidRDefault="00507828" w:rsidP="00507828">
          <w:pPr>
            <w:ind w:left="0" w:hanging="2"/>
            <w:jc w:val="center"/>
          </w:pPr>
          <w:r>
            <w:rPr>
              <w:noProof/>
              <w:lang w:val="ru-RU" w:eastAsia="ru-RU"/>
            </w:rPr>
            <w:drawing>
              <wp:inline distT="0" distB="0" distL="0" distR="0" wp14:anchorId="24F1C5EA" wp14:editId="6A4265BE">
                <wp:extent cx="2667000" cy="1685925"/>
                <wp:effectExtent l="0" t="0" r="0" b="9525"/>
                <wp:docPr id="1" name="image1.png" descr="https://lh4.googleusercontent.com/nHCGlOQUBpGGAuU0DR6FkV93l3lZype4aJ8lutZUfixscQK4kpgo4sjsfJRnGCSz74YN14VuwED1DKM8J0kbj2PmK6rQbU-_ofQlJRM08iQMINiHIN7W2RI3pZhzQeR8irWCL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nHCGlOQUBpGGAuU0DR6FkV93l3lZype4aJ8lutZUfixscQK4kpgo4sjsfJRnGCSz74YN14VuwED1DKM8J0kbj2PmK6rQbU-_ofQlJRM08iQMINiHIN7W2RI3pZhzQeR8irWCLJ-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1685925"/>
                        </a:xfrm>
                        <a:prstGeom prst="rect">
                          <a:avLst/>
                        </a:prstGeom>
                        <a:noFill/>
                        <a:ln>
                          <a:noFill/>
                        </a:ln>
                      </pic:spPr>
                    </pic:pic>
                  </a:graphicData>
                </a:graphic>
              </wp:inline>
            </w:drawing>
          </w:r>
        </w:p>
      </w:tc>
      <w:tc>
        <w:tcPr>
          <w:tcW w:w="3119" w:type="dxa"/>
          <w:tcBorders>
            <w:top w:val="nil"/>
            <w:left w:val="nil"/>
            <w:bottom w:val="single" w:sz="4" w:space="0" w:color="000000"/>
            <w:right w:val="nil"/>
          </w:tcBorders>
          <w:tcMar>
            <w:top w:w="80" w:type="dxa"/>
            <w:left w:w="80" w:type="dxa"/>
            <w:bottom w:w="80" w:type="dxa"/>
            <w:right w:w="80" w:type="dxa"/>
          </w:tcMar>
        </w:tcPr>
        <w:p w14:paraId="1FAC391B" w14:textId="77777777" w:rsidR="00507828" w:rsidRPr="00AC7EBE" w:rsidRDefault="00507828" w:rsidP="00507828">
          <w:pPr>
            <w:spacing w:before="120"/>
            <w:ind w:left="0" w:hanging="2"/>
            <w:rPr>
              <w:rFonts w:ascii="Cambria" w:hAnsi="Cambria" w:cs="Cambria"/>
              <w:color w:val="FF0000"/>
            </w:rPr>
          </w:pPr>
        </w:p>
        <w:p w14:paraId="2D17970D" w14:textId="77777777" w:rsidR="00507828" w:rsidRPr="00AC7EBE" w:rsidRDefault="00507828" w:rsidP="00507828">
          <w:pPr>
            <w:spacing w:before="120"/>
            <w:ind w:left="0" w:hanging="2"/>
            <w:jc w:val="center"/>
            <w:rPr>
              <w:rFonts w:ascii="Times New Roman" w:hAnsi="Times New Roman" w:cs="Times New Roman"/>
              <w:color w:val="060606"/>
              <w:sz w:val="24"/>
              <w:szCs w:val="24"/>
            </w:rPr>
          </w:pPr>
          <w:proofErr w:type="spellStart"/>
          <w:r w:rsidRPr="00AC7EBE">
            <w:rPr>
              <w:rFonts w:ascii="Times New Roman" w:hAnsi="Times New Roman" w:cs="Times New Roman"/>
              <w:b/>
              <w:color w:val="060606"/>
              <w:sz w:val="24"/>
              <w:szCs w:val="24"/>
            </w:rPr>
            <w:t>Think</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tank</w:t>
          </w:r>
          <w:proofErr w:type="spellEnd"/>
        </w:p>
        <w:p w14:paraId="7D0AAA2E" w14:textId="77777777" w:rsidR="00507828" w:rsidRPr="00AC7EBE" w:rsidRDefault="00507828" w:rsidP="00507828">
          <w:pPr>
            <w:ind w:left="0" w:hanging="2"/>
            <w:jc w:val="center"/>
            <w:rPr>
              <w:rFonts w:ascii="Times New Roman" w:hAnsi="Times New Roman" w:cs="Times New Roman"/>
              <w:color w:val="060606"/>
              <w:sz w:val="24"/>
              <w:szCs w:val="24"/>
            </w:rPr>
          </w:pPr>
          <w:r w:rsidRPr="00AC7EBE">
            <w:rPr>
              <w:rFonts w:ascii="Times New Roman" w:hAnsi="Times New Roman" w:cs="Times New Roman"/>
              <w:b/>
              <w:color w:val="060606"/>
              <w:sz w:val="24"/>
              <w:szCs w:val="24"/>
            </w:rPr>
            <w:t>«</w:t>
          </w:r>
          <w:proofErr w:type="spellStart"/>
          <w:r w:rsidRPr="00AC7EBE">
            <w:rPr>
              <w:rFonts w:ascii="Times New Roman" w:hAnsi="Times New Roman" w:cs="Times New Roman"/>
              <w:b/>
              <w:color w:val="060606"/>
              <w:sz w:val="24"/>
              <w:szCs w:val="24"/>
            </w:rPr>
            <w:t>Institute</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of</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legislative</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ideas</w:t>
          </w:r>
          <w:proofErr w:type="spellEnd"/>
          <w:r w:rsidRPr="00AC7EBE">
            <w:rPr>
              <w:rFonts w:ascii="Times New Roman" w:hAnsi="Times New Roman" w:cs="Times New Roman"/>
              <w:b/>
              <w:color w:val="060606"/>
              <w:sz w:val="24"/>
              <w:szCs w:val="24"/>
            </w:rPr>
            <w:t>»</w:t>
          </w:r>
        </w:p>
        <w:p w14:paraId="1D2FAC76" w14:textId="77777777" w:rsidR="00507828" w:rsidRPr="00AC7EBE" w:rsidRDefault="00507828" w:rsidP="00507828">
          <w:pPr>
            <w:ind w:left="0" w:hanging="2"/>
            <w:jc w:val="center"/>
            <w:rPr>
              <w:rFonts w:ascii="Times New Roman" w:hAnsi="Times New Roman" w:cs="Times New Roman"/>
              <w:sz w:val="24"/>
              <w:szCs w:val="24"/>
              <w:u w:val="single"/>
            </w:rPr>
          </w:pPr>
          <w:proofErr w:type="spellStart"/>
          <w:r w:rsidRPr="00AC7EBE">
            <w:rPr>
              <w:rFonts w:ascii="Times New Roman" w:hAnsi="Times New Roman" w:cs="Times New Roman"/>
              <w:sz w:val="24"/>
              <w:szCs w:val="24"/>
              <w:u w:val="single"/>
            </w:rPr>
            <w:t>office@izi.institute</w:t>
          </w:r>
          <w:proofErr w:type="spellEnd"/>
        </w:p>
        <w:p w14:paraId="48F7E72F" w14:textId="77777777" w:rsidR="00507828" w:rsidRPr="00AC7EBE" w:rsidRDefault="00507828" w:rsidP="00507828">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izi.institute</w:t>
          </w:r>
          <w:proofErr w:type="spellEnd"/>
        </w:p>
        <w:p w14:paraId="696CD861" w14:textId="77777777" w:rsidR="00507828" w:rsidRDefault="00507828" w:rsidP="00507828">
          <w:pPr>
            <w:ind w:left="0" w:hanging="2"/>
            <w:jc w:val="center"/>
          </w:pPr>
          <w:r w:rsidRPr="00AC7EBE">
            <w:rPr>
              <w:rFonts w:ascii="Times New Roman" w:hAnsi="Times New Roman" w:cs="Times New Roman"/>
              <w:sz w:val="24"/>
              <w:szCs w:val="24"/>
            </w:rPr>
            <w:t>+38 (063) 763-85-09</w:t>
          </w:r>
        </w:p>
      </w:tc>
    </w:tr>
  </w:tbl>
  <w:p w14:paraId="506E4B3F" w14:textId="77777777" w:rsidR="00ED4132" w:rsidRDefault="00ED4132">
    <w:pPr>
      <w:tabs>
        <w:tab w:val="center" w:pos="4677"/>
        <w:tab w:val="right" w:pos="9355"/>
      </w:tabs>
      <w:spacing w:line="240" w:lineRule="auto"/>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8D7207"/>
    <w:multiLevelType w:val="multilevel"/>
    <w:tmpl w:val="9DF09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2E5BB3"/>
    <w:multiLevelType w:val="multilevel"/>
    <w:tmpl w:val="3EDCD3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AEA2AC4"/>
    <w:multiLevelType w:val="multilevel"/>
    <w:tmpl w:val="FFFFFFFF"/>
    <w:lvl w:ilvl="0">
      <w:numFmt w:val="bullet"/>
      <w:lvlText w:val="-"/>
      <w:lvlJc w:val="left"/>
      <w:pPr>
        <w:ind w:left="1080" w:hanging="36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abstractNum w:abstractNumId="3" w15:restartNumberingAfterBreak="0">
    <w:nsid w:val="231C100E"/>
    <w:multiLevelType w:val="multilevel"/>
    <w:tmpl w:val="28CA4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FD4B2F"/>
    <w:multiLevelType w:val="multilevel"/>
    <w:tmpl w:val="36ACE34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40204B71"/>
    <w:multiLevelType w:val="multilevel"/>
    <w:tmpl w:val="C7BC14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44344112"/>
    <w:multiLevelType w:val="multilevel"/>
    <w:tmpl w:val="1E3A00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4B93F6C"/>
    <w:multiLevelType w:val="multilevel"/>
    <w:tmpl w:val="9DD0AB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962AEF"/>
    <w:multiLevelType w:val="multilevel"/>
    <w:tmpl w:val="84728F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F2638C0"/>
    <w:multiLevelType w:val="multilevel"/>
    <w:tmpl w:val="CD68C5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FAC3DD2"/>
    <w:multiLevelType w:val="multilevel"/>
    <w:tmpl w:val="FFFFFFFF"/>
    <w:lvl w:ilvl="0">
      <w:numFmt w:val="bullet"/>
      <w:lvlText w:val="-"/>
      <w:lvlJc w:val="left"/>
      <w:pPr>
        <w:ind w:left="1590" w:hanging="87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abstractNum w:abstractNumId="11" w15:restartNumberingAfterBreak="0">
    <w:nsid w:val="62A10B6B"/>
    <w:multiLevelType w:val="multilevel"/>
    <w:tmpl w:val="6E669F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E8C24D4"/>
    <w:multiLevelType w:val="multilevel"/>
    <w:tmpl w:val="12D83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0"/>
  </w:num>
  <w:num w:numId="3">
    <w:abstractNumId w:val="4"/>
  </w:num>
  <w:num w:numId="4">
    <w:abstractNumId w:val="9"/>
  </w:num>
  <w:num w:numId="5">
    <w:abstractNumId w:val="12"/>
  </w:num>
  <w:num w:numId="6">
    <w:abstractNumId w:val="3"/>
  </w:num>
  <w:num w:numId="7">
    <w:abstractNumId w:val="11"/>
  </w:num>
  <w:num w:numId="8">
    <w:abstractNumId w:val="0"/>
  </w:num>
  <w:num w:numId="9">
    <w:abstractNumId w:val="7"/>
  </w:num>
  <w:num w:numId="10">
    <w:abstractNumId w:val="5"/>
  </w:num>
  <w:num w:numId="11">
    <w:abstractNumId w:val="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518"/>
    <w:rsid w:val="00010319"/>
    <w:rsid w:val="00035BB6"/>
    <w:rsid w:val="000525CF"/>
    <w:rsid w:val="00072DA8"/>
    <w:rsid w:val="000816AF"/>
    <w:rsid w:val="000B110D"/>
    <w:rsid w:val="000D5D28"/>
    <w:rsid w:val="000E270E"/>
    <w:rsid w:val="000E7052"/>
    <w:rsid w:val="000F3992"/>
    <w:rsid w:val="00144ABE"/>
    <w:rsid w:val="00172B6D"/>
    <w:rsid w:val="0019514C"/>
    <w:rsid w:val="001A1A4B"/>
    <w:rsid w:val="001F0327"/>
    <w:rsid w:val="002029CE"/>
    <w:rsid w:val="00260742"/>
    <w:rsid w:val="0028065E"/>
    <w:rsid w:val="002A119D"/>
    <w:rsid w:val="002A1D69"/>
    <w:rsid w:val="002E1A14"/>
    <w:rsid w:val="002F0D41"/>
    <w:rsid w:val="00353735"/>
    <w:rsid w:val="003613BA"/>
    <w:rsid w:val="00380246"/>
    <w:rsid w:val="00384FDB"/>
    <w:rsid w:val="003F7518"/>
    <w:rsid w:val="00414BE2"/>
    <w:rsid w:val="00415E98"/>
    <w:rsid w:val="00423351"/>
    <w:rsid w:val="00427F91"/>
    <w:rsid w:val="004425AA"/>
    <w:rsid w:val="004B793E"/>
    <w:rsid w:val="004E418A"/>
    <w:rsid w:val="00507828"/>
    <w:rsid w:val="0052687B"/>
    <w:rsid w:val="0053184F"/>
    <w:rsid w:val="00542505"/>
    <w:rsid w:val="00552574"/>
    <w:rsid w:val="0055315F"/>
    <w:rsid w:val="00581342"/>
    <w:rsid w:val="005D43A1"/>
    <w:rsid w:val="005F01A1"/>
    <w:rsid w:val="006B6F27"/>
    <w:rsid w:val="0075544C"/>
    <w:rsid w:val="00760B42"/>
    <w:rsid w:val="00765B32"/>
    <w:rsid w:val="007A0B6F"/>
    <w:rsid w:val="007E2705"/>
    <w:rsid w:val="00812D53"/>
    <w:rsid w:val="00831FB8"/>
    <w:rsid w:val="00886358"/>
    <w:rsid w:val="0089091F"/>
    <w:rsid w:val="008A70E4"/>
    <w:rsid w:val="008D36B9"/>
    <w:rsid w:val="00920E20"/>
    <w:rsid w:val="0092158F"/>
    <w:rsid w:val="00943B3F"/>
    <w:rsid w:val="00961E2B"/>
    <w:rsid w:val="00964AA4"/>
    <w:rsid w:val="00975C13"/>
    <w:rsid w:val="009B43CA"/>
    <w:rsid w:val="009E47D8"/>
    <w:rsid w:val="00A0070D"/>
    <w:rsid w:val="00A23864"/>
    <w:rsid w:val="00A26B33"/>
    <w:rsid w:val="00A36759"/>
    <w:rsid w:val="00A46222"/>
    <w:rsid w:val="00A573F4"/>
    <w:rsid w:val="00AC4B7B"/>
    <w:rsid w:val="00AC7EBE"/>
    <w:rsid w:val="00AD0E79"/>
    <w:rsid w:val="00AD4A2C"/>
    <w:rsid w:val="00AD7FF3"/>
    <w:rsid w:val="00B07BD7"/>
    <w:rsid w:val="00B419EE"/>
    <w:rsid w:val="00B43FCC"/>
    <w:rsid w:val="00B75AEB"/>
    <w:rsid w:val="00BA12F3"/>
    <w:rsid w:val="00BF0BB3"/>
    <w:rsid w:val="00BF62B7"/>
    <w:rsid w:val="00C36DC0"/>
    <w:rsid w:val="00C613AB"/>
    <w:rsid w:val="00C638CF"/>
    <w:rsid w:val="00C70ACD"/>
    <w:rsid w:val="00C73A64"/>
    <w:rsid w:val="00CE6C1B"/>
    <w:rsid w:val="00D512D4"/>
    <w:rsid w:val="00D57CF0"/>
    <w:rsid w:val="00D6742B"/>
    <w:rsid w:val="00D95DAB"/>
    <w:rsid w:val="00E177AF"/>
    <w:rsid w:val="00E8340A"/>
    <w:rsid w:val="00EC2928"/>
    <w:rsid w:val="00EC5A17"/>
    <w:rsid w:val="00ED11A3"/>
    <w:rsid w:val="00ED19A5"/>
    <w:rsid w:val="00ED4132"/>
    <w:rsid w:val="00ED70D1"/>
    <w:rsid w:val="00F50BF1"/>
    <w:rsid w:val="00F86CE8"/>
    <w:rsid w:val="00FB2BED"/>
    <w:rsid w:val="00FC13CB"/>
    <w:rsid w:val="00FD3987"/>
    <w:rsid w:val="00FE55D3"/>
    <w:rsid w:val="00FE5815"/>
    <w:rsid w:val="00FF60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A39F981"/>
  <w15:docId w15:val="{4555D930-44A1-4FBD-9EF9-B9016814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518"/>
    <w:pPr>
      <w:suppressAutoHyphens/>
      <w:spacing w:line="276" w:lineRule="auto"/>
      <w:ind w:leftChars="-1" w:left="-1" w:hangingChars="1" w:hanging="1"/>
      <w:textDirection w:val="btLr"/>
      <w:textAlignment w:val="top"/>
      <w:outlineLvl w:val="0"/>
    </w:pPr>
    <w:rPr>
      <w:rFonts w:eastAsia="Times New Roman"/>
      <w:color w:val="000000"/>
      <w:position w:val="-1"/>
      <w:szCs w:val="20"/>
    </w:rPr>
  </w:style>
  <w:style w:type="paragraph" w:styleId="1">
    <w:name w:val="heading 1"/>
    <w:basedOn w:val="12"/>
    <w:next w:val="12"/>
    <w:link w:val="10"/>
    <w:uiPriority w:val="99"/>
    <w:qFormat/>
    <w:rsid w:val="003F7518"/>
    <w:pPr>
      <w:keepNext/>
      <w:keepLines/>
      <w:spacing w:before="480" w:after="120"/>
      <w:outlineLvl w:val="0"/>
    </w:pPr>
    <w:rPr>
      <w:b/>
      <w:sz w:val="48"/>
      <w:szCs w:val="48"/>
    </w:rPr>
  </w:style>
  <w:style w:type="paragraph" w:styleId="2">
    <w:name w:val="heading 2"/>
    <w:basedOn w:val="12"/>
    <w:next w:val="12"/>
    <w:link w:val="20"/>
    <w:uiPriority w:val="99"/>
    <w:qFormat/>
    <w:rsid w:val="003F7518"/>
    <w:pPr>
      <w:keepNext/>
      <w:suppressAutoHyphens/>
      <w:spacing w:before="240" w:after="60"/>
      <w:ind w:leftChars="-1" w:left="-1" w:hangingChars="1"/>
      <w:textDirection w:val="btLr"/>
      <w:textAlignment w:val="top"/>
      <w:outlineLvl w:val="1"/>
    </w:pPr>
    <w:rPr>
      <w:rFonts w:ascii="Cambria" w:hAnsi="Cambria" w:cs="Times New Roman"/>
      <w:b/>
      <w:bCs/>
      <w:i/>
      <w:iCs/>
      <w:color w:val="000000"/>
      <w:position w:val="-1"/>
      <w:sz w:val="28"/>
      <w:szCs w:val="28"/>
    </w:rPr>
  </w:style>
  <w:style w:type="paragraph" w:styleId="3">
    <w:name w:val="heading 3"/>
    <w:basedOn w:val="12"/>
    <w:next w:val="12"/>
    <w:link w:val="30"/>
    <w:uiPriority w:val="99"/>
    <w:qFormat/>
    <w:rsid w:val="003F7518"/>
    <w:pPr>
      <w:suppressAutoHyphens/>
      <w:spacing w:before="100" w:beforeAutospacing="1" w:after="100" w:afterAutospacing="1"/>
      <w:ind w:leftChars="-1" w:left="-1" w:hangingChars="1"/>
      <w:textDirection w:val="btLr"/>
      <w:textAlignment w:val="top"/>
      <w:outlineLvl w:val="2"/>
    </w:pPr>
    <w:rPr>
      <w:rFonts w:ascii="Times New Roman" w:hAnsi="Times New Roman" w:cs="Times New Roman"/>
      <w:b/>
      <w:bCs/>
      <w:position w:val="-1"/>
      <w:sz w:val="27"/>
      <w:szCs w:val="27"/>
      <w:lang w:eastAsia="ru-RU"/>
    </w:rPr>
  </w:style>
  <w:style w:type="paragraph" w:styleId="4">
    <w:name w:val="heading 4"/>
    <w:basedOn w:val="12"/>
    <w:next w:val="12"/>
    <w:link w:val="40"/>
    <w:uiPriority w:val="99"/>
    <w:qFormat/>
    <w:rsid w:val="003F7518"/>
    <w:pPr>
      <w:keepNext/>
      <w:keepLines/>
      <w:spacing w:before="240" w:after="40"/>
      <w:outlineLvl w:val="3"/>
    </w:pPr>
    <w:rPr>
      <w:b/>
      <w:sz w:val="24"/>
      <w:szCs w:val="24"/>
    </w:rPr>
  </w:style>
  <w:style w:type="paragraph" w:styleId="5">
    <w:name w:val="heading 5"/>
    <w:basedOn w:val="12"/>
    <w:next w:val="12"/>
    <w:link w:val="50"/>
    <w:uiPriority w:val="99"/>
    <w:qFormat/>
    <w:rsid w:val="003F7518"/>
    <w:pPr>
      <w:keepNext/>
      <w:keepLines/>
      <w:spacing w:before="220" w:after="40"/>
      <w:outlineLvl w:val="4"/>
    </w:pPr>
    <w:rPr>
      <w:b/>
      <w:sz w:val="22"/>
      <w:szCs w:val="22"/>
    </w:rPr>
  </w:style>
  <w:style w:type="paragraph" w:styleId="6">
    <w:name w:val="heading 6"/>
    <w:basedOn w:val="12"/>
    <w:next w:val="12"/>
    <w:link w:val="60"/>
    <w:uiPriority w:val="99"/>
    <w:qFormat/>
    <w:rsid w:val="003F7518"/>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F7518"/>
    <w:rPr>
      <w:rFonts w:ascii="Cambria" w:hAnsi="Cambria" w:cs="Times New Roman"/>
      <w:b/>
      <w:bCs/>
      <w:color w:val="000000"/>
      <w:kern w:val="32"/>
      <w:sz w:val="32"/>
      <w:szCs w:val="32"/>
    </w:rPr>
  </w:style>
  <w:style w:type="character" w:customStyle="1" w:styleId="20">
    <w:name w:val="Заголовок 2 Знак"/>
    <w:basedOn w:val="a0"/>
    <w:link w:val="2"/>
    <w:uiPriority w:val="99"/>
    <w:locked/>
    <w:rsid w:val="003F7518"/>
    <w:rPr>
      <w:rFonts w:ascii="Cambria" w:hAnsi="Cambria" w:cs="Times New Roman"/>
      <w:b/>
      <w:i/>
      <w:color w:val="000000"/>
      <w:w w:val="100"/>
      <w:sz w:val="28"/>
      <w:effect w:val="none"/>
      <w:vertAlign w:val="baseline"/>
      <w:em w:val="none"/>
    </w:rPr>
  </w:style>
  <w:style w:type="character" w:customStyle="1" w:styleId="30">
    <w:name w:val="Заголовок 3 Знак"/>
    <w:basedOn w:val="a0"/>
    <w:link w:val="3"/>
    <w:uiPriority w:val="99"/>
    <w:locked/>
    <w:rsid w:val="003F7518"/>
    <w:rPr>
      <w:rFonts w:ascii="Times New Roman" w:hAnsi="Times New Roman" w:cs="Times New Roman"/>
      <w:b/>
      <w:w w:val="100"/>
      <w:sz w:val="27"/>
      <w:effect w:val="none"/>
      <w:vertAlign w:val="baseline"/>
      <w:em w:val="none"/>
      <w:lang w:eastAsia="ru-RU"/>
    </w:rPr>
  </w:style>
  <w:style w:type="character" w:customStyle="1" w:styleId="40">
    <w:name w:val="Заголовок 4 Знак"/>
    <w:basedOn w:val="a0"/>
    <w:link w:val="4"/>
    <w:uiPriority w:val="99"/>
    <w:semiHidden/>
    <w:locked/>
    <w:rsid w:val="003F7518"/>
    <w:rPr>
      <w:rFonts w:ascii="Calibri" w:hAnsi="Calibri" w:cs="Times New Roman"/>
      <w:b/>
      <w:bCs/>
      <w:color w:val="000000"/>
      <w:sz w:val="28"/>
      <w:szCs w:val="28"/>
    </w:rPr>
  </w:style>
  <w:style w:type="character" w:customStyle="1" w:styleId="50">
    <w:name w:val="Заголовок 5 Знак"/>
    <w:basedOn w:val="a0"/>
    <w:link w:val="5"/>
    <w:uiPriority w:val="99"/>
    <w:semiHidden/>
    <w:locked/>
    <w:rsid w:val="003F7518"/>
    <w:rPr>
      <w:rFonts w:ascii="Calibri" w:hAnsi="Calibri" w:cs="Times New Roman"/>
      <w:b/>
      <w:bCs/>
      <w:i/>
      <w:iCs/>
      <w:color w:val="000000"/>
      <w:sz w:val="26"/>
      <w:szCs w:val="26"/>
    </w:rPr>
  </w:style>
  <w:style w:type="character" w:customStyle="1" w:styleId="60">
    <w:name w:val="Заголовок 6 Знак"/>
    <w:basedOn w:val="a0"/>
    <w:link w:val="6"/>
    <w:uiPriority w:val="99"/>
    <w:semiHidden/>
    <w:locked/>
    <w:rsid w:val="003F7518"/>
    <w:rPr>
      <w:rFonts w:ascii="Calibri" w:hAnsi="Calibri" w:cs="Times New Roman"/>
      <w:b/>
      <w:bCs/>
      <w:color w:val="000000"/>
    </w:rPr>
  </w:style>
  <w:style w:type="paragraph" w:customStyle="1" w:styleId="11">
    <w:name w:val="Обычный1"/>
    <w:uiPriority w:val="99"/>
    <w:rsid w:val="003F7518"/>
    <w:pPr>
      <w:spacing w:line="276" w:lineRule="auto"/>
      <w:ind w:hanging="1"/>
    </w:pPr>
  </w:style>
  <w:style w:type="paragraph" w:styleId="a3">
    <w:name w:val="Title"/>
    <w:basedOn w:val="12"/>
    <w:next w:val="12"/>
    <w:link w:val="a4"/>
    <w:uiPriority w:val="99"/>
    <w:qFormat/>
    <w:rsid w:val="003F7518"/>
    <w:pPr>
      <w:keepNext/>
      <w:keepLines/>
      <w:spacing w:before="480" w:after="120"/>
    </w:pPr>
    <w:rPr>
      <w:b/>
      <w:sz w:val="72"/>
      <w:szCs w:val="72"/>
    </w:rPr>
  </w:style>
  <w:style w:type="character" w:customStyle="1" w:styleId="a4">
    <w:name w:val="Название Знак"/>
    <w:basedOn w:val="a0"/>
    <w:link w:val="a3"/>
    <w:uiPriority w:val="99"/>
    <w:locked/>
    <w:rsid w:val="003F7518"/>
    <w:rPr>
      <w:rFonts w:ascii="Cambria" w:hAnsi="Cambria" w:cs="Times New Roman"/>
      <w:b/>
      <w:bCs/>
      <w:color w:val="000000"/>
      <w:kern w:val="28"/>
      <w:sz w:val="32"/>
      <w:szCs w:val="32"/>
    </w:rPr>
  </w:style>
  <w:style w:type="paragraph" w:customStyle="1" w:styleId="normal7">
    <w:name w:val="normal7"/>
    <w:uiPriority w:val="99"/>
    <w:rsid w:val="003F7518"/>
    <w:pPr>
      <w:spacing w:line="276" w:lineRule="auto"/>
      <w:ind w:hanging="1"/>
    </w:pPr>
  </w:style>
  <w:style w:type="paragraph" w:customStyle="1" w:styleId="normal6">
    <w:name w:val="normal6"/>
    <w:uiPriority w:val="99"/>
    <w:rsid w:val="003F7518"/>
    <w:pPr>
      <w:spacing w:line="276" w:lineRule="auto"/>
      <w:ind w:hanging="1"/>
    </w:pPr>
  </w:style>
  <w:style w:type="paragraph" w:customStyle="1" w:styleId="normal5">
    <w:name w:val="normal5"/>
    <w:uiPriority w:val="99"/>
    <w:rsid w:val="003F7518"/>
    <w:pPr>
      <w:spacing w:line="276" w:lineRule="auto"/>
      <w:ind w:hanging="1"/>
    </w:pPr>
  </w:style>
  <w:style w:type="paragraph" w:customStyle="1" w:styleId="normal4">
    <w:name w:val="normal4"/>
    <w:uiPriority w:val="99"/>
    <w:rsid w:val="003F7518"/>
    <w:pPr>
      <w:spacing w:line="276" w:lineRule="auto"/>
      <w:ind w:hanging="1"/>
    </w:pPr>
  </w:style>
  <w:style w:type="paragraph" w:customStyle="1" w:styleId="13">
    <w:name w:val="Обычный1"/>
    <w:uiPriority w:val="99"/>
    <w:pPr>
      <w:spacing w:line="276" w:lineRule="auto"/>
      <w:ind w:hanging="1"/>
    </w:pPr>
  </w:style>
  <w:style w:type="paragraph" w:customStyle="1" w:styleId="normal3">
    <w:name w:val="normal3"/>
    <w:uiPriority w:val="99"/>
    <w:pPr>
      <w:spacing w:line="276" w:lineRule="auto"/>
      <w:ind w:hanging="1"/>
    </w:pPr>
  </w:style>
  <w:style w:type="paragraph" w:customStyle="1" w:styleId="normal2">
    <w:name w:val="normal2"/>
    <w:uiPriority w:val="99"/>
    <w:pPr>
      <w:spacing w:line="276" w:lineRule="auto"/>
      <w:ind w:hanging="1"/>
    </w:pPr>
  </w:style>
  <w:style w:type="paragraph" w:customStyle="1" w:styleId="normal1">
    <w:name w:val="normal1"/>
    <w:uiPriority w:val="99"/>
    <w:pPr>
      <w:spacing w:line="276" w:lineRule="auto"/>
      <w:ind w:hanging="1"/>
    </w:pPr>
  </w:style>
  <w:style w:type="paragraph" w:customStyle="1" w:styleId="12">
    <w:name w:val="Обычный12"/>
    <w:uiPriority w:val="99"/>
    <w:rsid w:val="003F7518"/>
    <w:pPr>
      <w:spacing w:line="276" w:lineRule="auto"/>
      <w:ind w:hanging="1"/>
    </w:pPr>
    <w:rPr>
      <w:sz w:val="20"/>
      <w:szCs w:val="20"/>
    </w:rPr>
  </w:style>
  <w:style w:type="paragraph" w:customStyle="1" w:styleId="StyleProp">
    <w:name w:val="StyleProp"/>
    <w:basedOn w:val="a"/>
    <w:uiPriority w:val="99"/>
    <w:rsid w:val="003F7518"/>
    <w:pPr>
      <w:spacing w:line="200" w:lineRule="atLeast"/>
      <w:ind w:firstLine="227"/>
      <w:jc w:val="both"/>
    </w:pPr>
    <w:rPr>
      <w:rFonts w:ascii="Times New Roman" w:eastAsia="Arial" w:hAnsi="Times New Roman" w:cs="Times New Roman"/>
      <w:color w:val="auto"/>
      <w:sz w:val="18"/>
      <w:lang w:eastAsia="ru-RU"/>
    </w:rPr>
  </w:style>
  <w:style w:type="table" w:styleId="a5">
    <w:name w:val="Table Grid"/>
    <w:basedOn w:val="a1"/>
    <w:uiPriority w:val="99"/>
    <w:rsid w:val="003F7518"/>
    <w:pPr>
      <w:suppressAutoHyphens/>
      <w:spacing w:line="1" w:lineRule="atLeast"/>
      <w:ind w:leftChars="-1" w:left="-1" w:hangingChars="1" w:hanging="1"/>
      <w:textDirection w:val="btLr"/>
      <w:textAlignment w:val="top"/>
      <w:outlineLvl w:val="0"/>
    </w:pPr>
    <w:rPr>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0">
    <w:name w:val="rvts0"/>
    <w:uiPriority w:val="99"/>
    <w:rsid w:val="003F7518"/>
    <w:rPr>
      <w:w w:val="100"/>
      <w:effect w:val="none"/>
      <w:vertAlign w:val="baseline"/>
      <w:em w:val="none"/>
    </w:rPr>
  </w:style>
  <w:style w:type="character" w:customStyle="1" w:styleId="apple-converted-space">
    <w:name w:val="apple-converted-space"/>
    <w:basedOn w:val="a0"/>
    <w:uiPriority w:val="99"/>
    <w:rsid w:val="003F7518"/>
    <w:rPr>
      <w:rFonts w:cs="Times New Roman"/>
      <w:w w:val="100"/>
      <w:effect w:val="none"/>
      <w:vertAlign w:val="baseline"/>
      <w:em w:val="none"/>
    </w:rPr>
  </w:style>
  <w:style w:type="paragraph" w:customStyle="1" w:styleId="StyleZakonu">
    <w:name w:val="StyleZakonu"/>
    <w:basedOn w:val="a"/>
    <w:uiPriority w:val="99"/>
    <w:rsid w:val="003F7518"/>
    <w:pPr>
      <w:spacing w:after="60" w:line="220" w:lineRule="atLeast"/>
      <w:ind w:firstLine="284"/>
      <w:jc w:val="both"/>
    </w:pPr>
    <w:rPr>
      <w:rFonts w:ascii="Times New Roman" w:eastAsia="Arial" w:hAnsi="Times New Roman" w:cs="Times New Roman"/>
      <w:color w:val="auto"/>
      <w:sz w:val="20"/>
      <w:lang w:eastAsia="ru-RU"/>
    </w:rPr>
  </w:style>
  <w:style w:type="character" w:customStyle="1" w:styleId="StyleZakonu0">
    <w:name w:val="StyleZakonu Знак"/>
    <w:uiPriority w:val="99"/>
    <w:rsid w:val="003F7518"/>
    <w:rPr>
      <w:rFonts w:ascii="Times New Roman" w:hAnsi="Times New Roman"/>
      <w:w w:val="100"/>
      <w:effect w:val="none"/>
      <w:vertAlign w:val="baseline"/>
      <w:em w:val="none"/>
      <w:lang w:eastAsia="ru-RU"/>
    </w:rPr>
  </w:style>
  <w:style w:type="character" w:styleId="a6">
    <w:name w:val="Hyperlink"/>
    <w:basedOn w:val="a0"/>
    <w:uiPriority w:val="99"/>
    <w:rsid w:val="003F7518"/>
    <w:rPr>
      <w:rFonts w:cs="Times New Roman"/>
      <w:color w:val="0000FF"/>
      <w:w w:val="100"/>
      <w:u w:val="single"/>
      <w:effect w:val="none"/>
      <w:vertAlign w:val="baseline"/>
      <w:em w:val="none"/>
    </w:rPr>
  </w:style>
  <w:style w:type="paragraph" w:customStyle="1" w:styleId="rvps2">
    <w:name w:val="rvps2"/>
    <w:basedOn w:val="a"/>
    <w:uiPriority w:val="99"/>
    <w:rsid w:val="003F7518"/>
    <w:pPr>
      <w:spacing w:before="100" w:after="100" w:line="240" w:lineRule="auto"/>
    </w:pPr>
    <w:rPr>
      <w:rFonts w:ascii="Times New Roman" w:eastAsia="Arial" w:hAnsi="Times New Roman" w:cs="Times New Roman"/>
      <w:color w:val="auto"/>
      <w:kern w:val="1"/>
      <w:sz w:val="24"/>
      <w:szCs w:val="24"/>
      <w:lang w:eastAsia="ar-SA"/>
    </w:rPr>
  </w:style>
  <w:style w:type="paragraph" w:styleId="a7">
    <w:name w:val="Body Text"/>
    <w:basedOn w:val="a"/>
    <w:link w:val="a8"/>
    <w:uiPriority w:val="99"/>
    <w:rsid w:val="003F7518"/>
    <w:pPr>
      <w:widowControl w:val="0"/>
      <w:suppressAutoHyphens w:val="0"/>
      <w:spacing w:after="120" w:line="240" w:lineRule="auto"/>
    </w:pPr>
    <w:rPr>
      <w:rFonts w:ascii="Times New Roman" w:eastAsia="SimSun" w:hAnsi="Times New Roman" w:cs="Mangal"/>
      <w:color w:val="auto"/>
      <w:kern w:val="1"/>
      <w:sz w:val="24"/>
      <w:szCs w:val="24"/>
      <w:lang w:eastAsia="hi-IN" w:bidi="hi-IN"/>
    </w:rPr>
  </w:style>
  <w:style w:type="character" w:customStyle="1" w:styleId="a8">
    <w:name w:val="Основной текст Знак"/>
    <w:basedOn w:val="a0"/>
    <w:link w:val="a7"/>
    <w:uiPriority w:val="99"/>
    <w:locked/>
    <w:rsid w:val="003F7518"/>
    <w:rPr>
      <w:rFonts w:ascii="Times New Roman" w:eastAsia="SimSun" w:hAnsi="Times New Roman" w:cs="Times New Roman"/>
      <w:w w:val="100"/>
      <w:kern w:val="1"/>
      <w:sz w:val="24"/>
      <w:effect w:val="none"/>
      <w:vertAlign w:val="baseline"/>
      <w:em w:val="none"/>
      <w:lang w:eastAsia="hi-IN" w:bidi="hi-IN"/>
    </w:rPr>
  </w:style>
  <w:style w:type="paragraph" w:styleId="a9">
    <w:name w:val="Normal (Web)"/>
    <w:basedOn w:val="a"/>
    <w:uiPriority w:val="99"/>
    <w:rsid w:val="003F7518"/>
    <w:pPr>
      <w:spacing w:before="100" w:beforeAutospacing="1" w:after="100" w:afterAutospacing="1" w:line="240" w:lineRule="auto"/>
    </w:pPr>
    <w:rPr>
      <w:rFonts w:ascii="Times New Roman" w:eastAsia="Arial" w:hAnsi="Times New Roman" w:cs="Times New Roman"/>
      <w:color w:val="auto"/>
      <w:sz w:val="24"/>
      <w:szCs w:val="24"/>
    </w:rPr>
  </w:style>
  <w:style w:type="paragraph" w:customStyle="1" w:styleId="110">
    <w:name w:val="Кольоровий список — акцент 11"/>
    <w:basedOn w:val="a"/>
    <w:uiPriority w:val="99"/>
    <w:rsid w:val="003F7518"/>
    <w:pPr>
      <w:spacing w:line="240" w:lineRule="auto"/>
      <w:ind w:left="720"/>
    </w:pPr>
    <w:rPr>
      <w:rFonts w:ascii="Times New Roman" w:hAnsi="Times New Roman" w:cs="Times New Roman"/>
      <w:color w:val="auto"/>
      <w:sz w:val="24"/>
      <w:szCs w:val="24"/>
      <w:lang w:val="ru-RU" w:eastAsia="ru-RU"/>
    </w:rPr>
  </w:style>
  <w:style w:type="paragraph" w:customStyle="1" w:styleId="aa">
    <w:name w:val="Нормальний текст"/>
    <w:basedOn w:val="a"/>
    <w:uiPriority w:val="99"/>
    <w:rsid w:val="003F7518"/>
    <w:pPr>
      <w:spacing w:before="120" w:line="240" w:lineRule="auto"/>
      <w:ind w:firstLine="567"/>
      <w:jc w:val="both"/>
    </w:pPr>
    <w:rPr>
      <w:rFonts w:ascii="Antiqua" w:eastAsia="Arial" w:hAnsi="Antiqua" w:cs="Times New Roman"/>
      <w:color w:val="auto"/>
      <w:sz w:val="26"/>
      <w:lang w:eastAsia="ru-RU"/>
    </w:rPr>
  </w:style>
  <w:style w:type="paragraph" w:customStyle="1" w:styleId="ParagraphStyle">
    <w:name w:val="Paragraph Style"/>
    <w:uiPriority w:val="99"/>
    <w:rsid w:val="003F7518"/>
    <w:pPr>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sz w:val="24"/>
      <w:szCs w:val="24"/>
      <w:lang w:val="ru-RU" w:eastAsia="ru-RU"/>
    </w:rPr>
  </w:style>
  <w:style w:type="character" w:customStyle="1" w:styleId="StyleProp0">
    <w:name w:val="StyleProp Знак"/>
    <w:uiPriority w:val="99"/>
    <w:rsid w:val="003F7518"/>
    <w:rPr>
      <w:rFonts w:ascii="Times New Roman" w:hAnsi="Times New Roman"/>
      <w:w w:val="100"/>
      <w:sz w:val="18"/>
      <w:effect w:val="none"/>
      <w:vertAlign w:val="baseline"/>
      <w:em w:val="none"/>
      <w:lang w:eastAsia="ru-RU"/>
    </w:rPr>
  </w:style>
  <w:style w:type="character" w:customStyle="1" w:styleId="st42">
    <w:name w:val="st42"/>
    <w:uiPriority w:val="99"/>
    <w:rsid w:val="003F7518"/>
    <w:rPr>
      <w:rFonts w:ascii="Times New Roman" w:hAnsi="Times New Roman"/>
      <w:color w:val="000000"/>
      <w:w w:val="100"/>
      <w:effect w:val="none"/>
      <w:vertAlign w:val="baseline"/>
      <w:em w:val="none"/>
    </w:rPr>
  </w:style>
  <w:style w:type="character" w:customStyle="1" w:styleId="rvts9">
    <w:name w:val="rvts9"/>
    <w:uiPriority w:val="99"/>
    <w:rsid w:val="003F7518"/>
    <w:rPr>
      <w:w w:val="100"/>
      <w:effect w:val="none"/>
      <w:vertAlign w:val="baseline"/>
      <w:em w:val="none"/>
    </w:rPr>
  </w:style>
  <w:style w:type="paragraph" w:styleId="HTML">
    <w:name w:val="HTML Preformatted"/>
    <w:basedOn w:val="a"/>
    <w:link w:val="HTML0"/>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Arial" w:hAnsi="Courier New" w:cs="Times New Roman"/>
      <w:color w:val="auto"/>
      <w:sz w:val="20"/>
    </w:rPr>
  </w:style>
  <w:style w:type="character" w:customStyle="1" w:styleId="HTML0">
    <w:name w:val="Стандартный HTML Знак"/>
    <w:basedOn w:val="a0"/>
    <w:link w:val="HTML"/>
    <w:uiPriority w:val="99"/>
    <w:locked/>
    <w:rsid w:val="003F7518"/>
    <w:rPr>
      <w:rFonts w:ascii="Courier New" w:hAnsi="Courier New" w:cs="Times New Roman"/>
      <w:w w:val="100"/>
      <w:effect w:val="none"/>
      <w:vertAlign w:val="baseline"/>
      <w:em w:val="none"/>
    </w:rPr>
  </w:style>
  <w:style w:type="character" w:customStyle="1" w:styleId="21">
    <w:name w:val="Заголовок №2_"/>
    <w:uiPriority w:val="99"/>
    <w:rsid w:val="003F7518"/>
    <w:rPr>
      <w:rFonts w:ascii="Times New Roman" w:hAnsi="Times New Roman"/>
      <w:b/>
      <w:w w:val="100"/>
      <w:sz w:val="28"/>
      <w:effect w:val="none"/>
      <w:shd w:val="clear" w:color="auto" w:fill="FFFFFF"/>
      <w:vertAlign w:val="baseline"/>
      <w:em w:val="none"/>
    </w:rPr>
  </w:style>
  <w:style w:type="paragraph" w:customStyle="1" w:styleId="22">
    <w:name w:val="Заголовок №2"/>
    <w:basedOn w:val="a"/>
    <w:uiPriority w:val="99"/>
    <w:rsid w:val="003F7518"/>
    <w:pPr>
      <w:widowControl w:val="0"/>
      <w:shd w:val="clear" w:color="auto" w:fill="FFFFFF"/>
      <w:spacing w:before="240" w:after="360" w:line="240" w:lineRule="atLeast"/>
      <w:ind w:firstLine="940"/>
      <w:jc w:val="both"/>
      <w:outlineLvl w:val="1"/>
    </w:pPr>
    <w:rPr>
      <w:rFonts w:ascii="Times New Roman" w:hAnsi="Times New Roman" w:cs="Times New Roman"/>
      <w:b/>
      <w:bCs/>
      <w:color w:val="auto"/>
      <w:sz w:val="28"/>
      <w:szCs w:val="28"/>
    </w:rPr>
  </w:style>
  <w:style w:type="paragraph" w:styleId="23">
    <w:name w:val="Body Text 2"/>
    <w:basedOn w:val="a"/>
    <w:link w:val="24"/>
    <w:uiPriority w:val="99"/>
    <w:rsid w:val="003F7518"/>
    <w:pPr>
      <w:spacing w:after="120" w:line="480" w:lineRule="auto"/>
    </w:pPr>
    <w:rPr>
      <w:rFonts w:cs="Times New Roman"/>
    </w:rPr>
  </w:style>
  <w:style w:type="character" w:customStyle="1" w:styleId="24">
    <w:name w:val="Основной текст 2 Знак"/>
    <w:basedOn w:val="a0"/>
    <w:link w:val="23"/>
    <w:uiPriority w:val="99"/>
    <w:locked/>
    <w:rsid w:val="003F7518"/>
    <w:rPr>
      <w:rFonts w:ascii="Arial" w:hAnsi="Arial" w:cs="Times New Roman"/>
      <w:color w:val="000000"/>
      <w:w w:val="100"/>
      <w:sz w:val="22"/>
      <w:effect w:val="none"/>
      <w:vertAlign w:val="baseline"/>
      <w:em w:val="none"/>
    </w:rPr>
  </w:style>
  <w:style w:type="character" w:customStyle="1" w:styleId="FontStyle">
    <w:name w:val="Font Style"/>
    <w:uiPriority w:val="99"/>
    <w:rsid w:val="003F7518"/>
    <w:rPr>
      <w:color w:val="000000"/>
      <w:w w:val="100"/>
      <w:sz w:val="20"/>
      <w:effect w:val="none"/>
      <w:vertAlign w:val="baseline"/>
      <w:em w:val="none"/>
    </w:rPr>
  </w:style>
  <w:style w:type="paragraph" w:styleId="ab">
    <w:name w:val="List Paragraph"/>
    <w:basedOn w:val="a"/>
    <w:uiPriority w:val="99"/>
    <w:qFormat/>
    <w:rsid w:val="003F7518"/>
    <w:pPr>
      <w:ind w:left="708"/>
    </w:pPr>
  </w:style>
  <w:style w:type="paragraph" w:customStyle="1" w:styleId="StyleProp2">
    <w:name w:val="StyleProp2"/>
    <w:basedOn w:val="a"/>
    <w:uiPriority w:val="99"/>
    <w:rsid w:val="003F7518"/>
    <w:pPr>
      <w:spacing w:after="120" w:line="200" w:lineRule="atLeast"/>
      <w:ind w:firstLine="227"/>
      <w:jc w:val="both"/>
    </w:pPr>
    <w:rPr>
      <w:rFonts w:ascii="Times New Roman" w:eastAsia="Arial" w:hAnsi="Times New Roman" w:cs="Times New Roman"/>
      <w:color w:val="auto"/>
      <w:sz w:val="18"/>
      <w:lang w:eastAsia="ru-RU"/>
    </w:rPr>
  </w:style>
  <w:style w:type="paragraph" w:styleId="ac">
    <w:name w:val="Balloon Text"/>
    <w:basedOn w:val="a"/>
    <w:link w:val="ad"/>
    <w:uiPriority w:val="99"/>
    <w:rsid w:val="003F7518"/>
    <w:pPr>
      <w:spacing w:line="240" w:lineRule="auto"/>
    </w:pPr>
    <w:rPr>
      <w:rFonts w:ascii="Tahoma" w:hAnsi="Tahoma" w:cs="Tahoma"/>
      <w:sz w:val="16"/>
      <w:szCs w:val="16"/>
    </w:rPr>
  </w:style>
  <w:style w:type="character" w:customStyle="1" w:styleId="ad">
    <w:name w:val="Текст выноски Знак"/>
    <w:basedOn w:val="a0"/>
    <w:link w:val="ac"/>
    <w:uiPriority w:val="99"/>
    <w:locked/>
    <w:rsid w:val="003F7518"/>
    <w:rPr>
      <w:rFonts w:ascii="Tahoma" w:hAnsi="Tahoma" w:cs="Tahoma"/>
      <w:color w:val="000000"/>
      <w:w w:val="100"/>
      <w:sz w:val="16"/>
      <w:szCs w:val="16"/>
      <w:effect w:val="none"/>
      <w:vertAlign w:val="baseline"/>
      <w:em w:val="none"/>
      <w:lang w:val="uk-UA" w:eastAsia="uk-UA"/>
    </w:rPr>
  </w:style>
  <w:style w:type="paragraph" w:styleId="ae">
    <w:name w:val="header"/>
    <w:basedOn w:val="a"/>
    <w:link w:val="af"/>
    <w:uiPriority w:val="99"/>
    <w:rsid w:val="003F7518"/>
    <w:pPr>
      <w:tabs>
        <w:tab w:val="center" w:pos="4677"/>
        <w:tab w:val="right" w:pos="9355"/>
      </w:tabs>
      <w:spacing w:line="240" w:lineRule="auto"/>
    </w:pPr>
  </w:style>
  <w:style w:type="character" w:customStyle="1" w:styleId="af">
    <w:name w:val="Верхний колонтитул Знак"/>
    <w:basedOn w:val="a0"/>
    <w:link w:val="ae"/>
    <w:uiPriority w:val="99"/>
    <w:locked/>
    <w:rsid w:val="003F7518"/>
    <w:rPr>
      <w:rFonts w:ascii="Arial" w:hAnsi="Arial" w:cs="Arial"/>
      <w:color w:val="000000"/>
      <w:w w:val="100"/>
      <w:sz w:val="22"/>
      <w:effect w:val="none"/>
      <w:vertAlign w:val="baseline"/>
      <w:em w:val="none"/>
      <w:lang w:val="uk-UA" w:eastAsia="uk-UA"/>
    </w:rPr>
  </w:style>
  <w:style w:type="paragraph" w:styleId="af0">
    <w:name w:val="footer"/>
    <w:basedOn w:val="a"/>
    <w:link w:val="af1"/>
    <w:uiPriority w:val="99"/>
    <w:rsid w:val="003F7518"/>
    <w:pPr>
      <w:tabs>
        <w:tab w:val="center" w:pos="4677"/>
        <w:tab w:val="right" w:pos="9355"/>
      </w:tabs>
      <w:spacing w:line="240" w:lineRule="auto"/>
    </w:pPr>
  </w:style>
  <w:style w:type="character" w:customStyle="1" w:styleId="af1">
    <w:name w:val="Нижний колонтитул Знак"/>
    <w:basedOn w:val="a0"/>
    <w:link w:val="af0"/>
    <w:uiPriority w:val="99"/>
    <w:locked/>
    <w:rsid w:val="003F7518"/>
    <w:rPr>
      <w:rFonts w:ascii="Arial" w:hAnsi="Arial" w:cs="Arial"/>
      <w:color w:val="000000"/>
      <w:w w:val="100"/>
      <w:sz w:val="22"/>
      <w:effect w:val="none"/>
      <w:vertAlign w:val="baseline"/>
      <w:em w:val="none"/>
      <w:lang w:val="uk-UA" w:eastAsia="uk-UA"/>
    </w:rPr>
  </w:style>
  <w:style w:type="paragraph" w:styleId="af2">
    <w:name w:val="footnote text"/>
    <w:basedOn w:val="a"/>
    <w:link w:val="af3"/>
    <w:uiPriority w:val="99"/>
    <w:rsid w:val="003F7518"/>
    <w:pPr>
      <w:spacing w:line="240" w:lineRule="auto"/>
    </w:pPr>
    <w:rPr>
      <w:sz w:val="20"/>
    </w:rPr>
  </w:style>
  <w:style w:type="character" w:customStyle="1" w:styleId="af3">
    <w:name w:val="Текст сноски Знак"/>
    <w:basedOn w:val="a0"/>
    <w:link w:val="af2"/>
    <w:uiPriority w:val="99"/>
    <w:locked/>
    <w:rsid w:val="003F7518"/>
    <w:rPr>
      <w:rFonts w:ascii="Arial" w:hAnsi="Arial" w:cs="Arial"/>
      <w:color w:val="000000"/>
      <w:w w:val="100"/>
      <w:effect w:val="none"/>
      <w:vertAlign w:val="baseline"/>
      <w:em w:val="none"/>
      <w:lang w:val="uk-UA" w:eastAsia="uk-UA"/>
    </w:rPr>
  </w:style>
  <w:style w:type="character" w:styleId="af4">
    <w:name w:val="footnote reference"/>
    <w:basedOn w:val="a0"/>
    <w:uiPriority w:val="99"/>
    <w:rsid w:val="003F7518"/>
    <w:rPr>
      <w:rFonts w:cs="Times New Roman"/>
      <w:w w:val="100"/>
      <w:effect w:val="none"/>
      <w:vertAlign w:val="superscript"/>
      <w:em w:val="none"/>
    </w:rPr>
  </w:style>
  <w:style w:type="paragraph" w:customStyle="1" w:styleId="Standard">
    <w:name w:val="Standard"/>
    <w:uiPriority w:val="99"/>
    <w:rsid w:val="003F7518"/>
    <w:pPr>
      <w:autoSpaceDN w:val="0"/>
      <w:spacing w:line="276" w:lineRule="auto"/>
      <w:ind w:leftChars="-1" w:left="-1" w:hangingChars="1" w:hanging="1"/>
      <w:textDirection w:val="btLr"/>
      <w:textAlignment w:val="baseline"/>
      <w:outlineLvl w:val="0"/>
    </w:pPr>
    <w:rPr>
      <w:rFonts w:eastAsia="Times New Roman"/>
      <w:color w:val="000000"/>
      <w:kern w:val="3"/>
      <w:position w:val="-1"/>
      <w:szCs w:val="20"/>
    </w:rPr>
  </w:style>
  <w:style w:type="paragraph" w:customStyle="1" w:styleId="Textbody">
    <w:name w:val="Text body"/>
    <w:basedOn w:val="Standard"/>
    <w:uiPriority w:val="99"/>
    <w:rsid w:val="003F7518"/>
    <w:pPr>
      <w:widowControl w:val="0"/>
      <w:spacing w:after="120" w:line="240" w:lineRule="auto"/>
    </w:pPr>
    <w:rPr>
      <w:rFonts w:ascii="Times New Roman" w:eastAsia="SimSun" w:hAnsi="Times New Roman" w:cs="Mangal"/>
      <w:color w:val="00000A"/>
      <w:sz w:val="24"/>
      <w:szCs w:val="24"/>
      <w:lang w:eastAsia="hi-IN" w:bidi="hi-IN"/>
    </w:rPr>
  </w:style>
  <w:style w:type="paragraph" w:customStyle="1" w:styleId="14">
    <w:name w:val="Без интервала1"/>
    <w:uiPriority w:val="99"/>
    <w:rsid w:val="003F7518"/>
    <w:pPr>
      <w:suppressAutoHyphens/>
      <w:spacing w:line="1" w:lineRule="atLeast"/>
      <w:ind w:leftChars="-1" w:left="-1" w:hangingChars="1" w:hanging="1"/>
      <w:textDirection w:val="btLr"/>
      <w:textAlignment w:val="top"/>
      <w:outlineLvl w:val="0"/>
    </w:pPr>
    <w:rPr>
      <w:rFonts w:ascii="Cambria" w:eastAsia="Times New Roman" w:hAnsi="Cambria"/>
      <w:position w:val="-1"/>
      <w:sz w:val="24"/>
      <w:szCs w:val="24"/>
      <w:lang w:val="ru-RU" w:eastAsia="en-US"/>
    </w:rPr>
  </w:style>
  <w:style w:type="paragraph" w:customStyle="1" w:styleId="3f3f3f3f3f3f3f3f3f3f3f3f3f3f3f3f3f3f3f3f3f3f3f3f3f3f3f3f3f3f3f3f3f3f3f3f3f3f3f3f3f3f3f3fHTML">
    <w:name w:val="С3f3f3f3fт3f3f3f3fа3f3f3f3fн3f3f3f3fд3f3f3f3fа3f3f3f3fр3f3f3f3fт3f3f3f3fн3f3f3f3fи3f3f3f3fй3f3f3f3f HTML"/>
    <w:basedOn w:val="a"/>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pPr>
    <w:rPr>
      <w:rFonts w:ascii="Courier New" w:hAnsi="Liberation Serif" w:cs="Courier New"/>
      <w:kern w:val="1"/>
      <w:sz w:val="24"/>
      <w:szCs w:val="24"/>
      <w:lang w:val="ru-RU" w:eastAsia="ru-RU"/>
    </w:rPr>
  </w:style>
  <w:style w:type="character" w:customStyle="1" w:styleId="25">
    <w:name w:val="Основний текст (2)_"/>
    <w:uiPriority w:val="99"/>
    <w:rsid w:val="003F7518"/>
    <w:rPr>
      <w:spacing w:val="-10"/>
      <w:w w:val="100"/>
      <w:effect w:val="none"/>
      <w:shd w:val="clear" w:color="auto" w:fill="FFFFFF"/>
      <w:vertAlign w:val="baseline"/>
      <w:em w:val="none"/>
    </w:rPr>
  </w:style>
  <w:style w:type="paragraph" w:customStyle="1" w:styleId="26">
    <w:name w:val="Основний текст (2)"/>
    <w:basedOn w:val="a"/>
    <w:uiPriority w:val="99"/>
    <w:rsid w:val="003F7518"/>
    <w:pPr>
      <w:widowControl w:val="0"/>
      <w:shd w:val="clear" w:color="auto" w:fill="FFFFFF"/>
      <w:spacing w:before="360" w:after="360" w:line="240" w:lineRule="atLeast"/>
      <w:ind w:hanging="480"/>
      <w:jc w:val="both"/>
    </w:pPr>
    <w:rPr>
      <w:rFonts w:ascii="Calibri" w:hAnsi="Calibri" w:cs="Times New Roman"/>
      <w:color w:val="auto"/>
      <w:spacing w:val="-10"/>
      <w:sz w:val="20"/>
    </w:rPr>
  </w:style>
  <w:style w:type="paragraph" w:customStyle="1" w:styleId="15">
    <w:name w:val="Абзац списка1"/>
    <w:basedOn w:val="a"/>
    <w:uiPriority w:val="99"/>
    <w:rsid w:val="003F7518"/>
    <w:pPr>
      <w:spacing w:after="160" w:line="259" w:lineRule="auto"/>
      <w:ind w:left="720"/>
    </w:pPr>
    <w:rPr>
      <w:rFonts w:ascii="Calibri" w:eastAsia="Arial" w:hAnsi="Calibri" w:cs="Times New Roman"/>
      <w:color w:val="auto"/>
      <w:szCs w:val="22"/>
      <w:lang w:eastAsia="en-US"/>
    </w:rPr>
  </w:style>
  <w:style w:type="character" w:customStyle="1" w:styleId="s3">
    <w:name w:val="s3"/>
    <w:uiPriority w:val="99"/>
    <w:rsid w:val="003F7518"/>
    <w:rPr>
      <w:w w:val="100"/>
      <w:effect w:val="none"/>
      <w:vertAlign w:val="baseline"/>
      <w:em w:val="none"/>
    </w:rPr>
  </w:style>
  <w:style w:type="paragraph" w:styleId="af5">
    <w:name w:val="Body Text Indent"/>
    <w:basedOn w:val="a"/>
    <w:link w:val="af6"/>
    <w:uiPriority w:val="99"/>
    <w:rsid w:val="003F7518"/>
    <w:pPr>
      <w:spacing w:after="120"/>
      <w:ind w:left="283"/>
    </w:pPr>
  </w:style>
  <w:style w:type="character" w:customStyle="1" w:styleId="af6">
    <w:name w:val="Основной текст с отступом Знак"/>
    <w:basedOn w:val="a0"/>
    <w:link w:val="af5"/>
    <w:uiPriority w:val="99"/>
    <w:locked/>
    <w:rsid w:val="003F7518"/>
    <w:rPr>
      <w:rFonts w:ascii="Arial" w:hAnsi="Arial" w:cs="Arial"/>
      <w:color w:val="000000"/>
      <w:w w:val="100"/>
      <w:sz w:val="22"/>
      <w:effect w:val="none"/>
      <w:vertAlign w:val="baseline"/>
      <w:em w:val="none"/>
      <w:lang w:val="uk-UA" w:eastAsia="uk-UA"/>
    </w:rPr>
  </w:style>
  <w:style w:type="paragraph" w:customStyle="1" w:styleId="111">
    <w:name w:val="Обычный11"/>
    <w:uiPriority w:val="99"/>
    <w:rsid w:val="003F7518"/>
    <w:pPr>
      <w:suppressAutoHyphens/>
      <w:spacing w:after="200" w:line="276" w:lineRule="auto"/>
      <w:ind w:leftChars="-1" w:left="-1" w:hangingChars="1" w:hanging="1"/>
      <w:textDirection w:val="btLr"/>
      <w:textAlignment w:val="top"/>
      <w:outlineLvl w:val="0"/>
    </w:pPr>
    <w:rPr>
      <w:position w:val="-1"/>
    </w:rPr>
  </w:style>
  <w:style w:type="paragraph" w:styleId="af7">
    <w:name w:val="endnote text"/>
    <w:basedOn w:val="a"/>
    <w:link w:val="af8"/>
    <w:uiPriority w:val="99"/>
    <w:rsid w:val="003F7518"/>
    <w:pPr>
      <w:spacing w:line="240" w:lineRule="auto"/>
    </w:pPr>
    <w:rPr>
      <w:rFonts w:ascii="Calibri" w:hAnsi="Calibri" w:cs="Times New Roman"/>
      <w:color w:val="auto"/>
      <w:sz w:val="20"/>
      <w:lang w:val="ru-RU" w:eastAsia="en-US"/>
    </w:rPr>
  </w:style>
  <w:style w:type="character" w:customStyle="1" w:styleId="af8">
    <w:name w:val="Текст концевой сноски Знак"/>
    <w:basedOn w:val="a0"/>
    <w:link w:val="af7"/>
    <w:uiPriority w:val="99"/>
    <w:locked/>
    <w:rsid w:val="003F7518"/>
    <w:rPr>
      <w:rFonts w:cs="Times New Roman"/>
      <w:w w:val="100"/>
      <w:effect w:val="none"/>
      <w:vertAlign w:val="baseline"/>
      <w:em w:val="none"/>
      <w:lang w:eastAsia="en-US"/>
    </w:rPr>
  </w:style>
  <w:style w:type="character" w:styleId="af9">
    <w:name w:val="endnote reference"/>
    <w:basedOn w:val="a0"/>
    <w:uiPriority w:val="99"/>
    <w:rsid w:val="003F7518"/>
    <w:rPr>
      <w:rFonts w:cs="Times New Roman"/>
      <w:w w:val="100"/>
      <w:effect w:val="none"/>
      <w:vertAlign w:val="superscript"/>
      <w:em w:val="none"/>
    </w:rPr>
  </w:style>
  <w:style w:type="paragraph" w:customStyle="1" w:styleId="afa">
    <w:name w:val="Стиль"/>
    <w:basedOn w:val="a"/>
    <w:uiPriority w:val="99"/>
    <w:rsid w:val="003F7518"/>
    <w:pPr>
      <w:spacing w:line="240" w:lineRule="auto"/>
    </w:pPr>
    <w:rPr>
      <w:rFonts w:ascii="Verdana" w:hAnsi="Verdana" w:cs="Verdana"/>
      <w:color w:val="auto"/>
      <w:sz w:val="20"/>
      <w:lang w:val="en-US" w:eastAsia="en-US"/>
    </w:rPr>
  </w:style>
  <w:style w:type="paragraph" w:styleId="afb">
    <w:name w:val="Subtitle"/>
    <w:basedOn w:val="normal4"/>
    <w:next w:val="normal4"/>
    <w:link w:val="afc"/>
    <w:uiPriority w:val="99"/>
    <w:qFormat/>
    <w:rsid w:val="003F7518"/>
    <w:pPr>
      <w:keepNext/>
      <w:keepLines/>
      <w:spacing w:before="360" w:after="80" w:line="240" w:lineRule="auto"/>
      <w:ind w:firstLine="0"/>
    </w:pPr>
    <w:rPr>
      <w:rFonts w:ascii="Georgia" w:hAnsi="Georgia" w:cs="Georgia"/>
      <w:i/>
      <w:color w:val="666666"/>
      <w:sz w:val="48"/>
      <w:szCs w:val="48"/>
    </w:rPr>
  </w:style>
  <w:style w:type="character" w:customStyle="1" w:styleId="afc">
    <w:name w:val="Подзаголовок Знак"/>
    <w:basedOn w:val="a0"/>
    <w:link w:val="afb"/>
    <w:uiPriority w:val="99"/>
    <w:locked/>
    <w:rsid w:val="003F7518"/>
    <w:rPr>
      <w:rFonts w:ascii="Cambria" w:hAnsi="Cambria" w:cs="Times New Roman"/>
      <w:color w:val="000000"/>
      <w:sz w:val="24"/>
      <w:szCs w:val="24"/>
    </w:rPr>
  </w:style>
  <w:style w:type="table" w:customStyle="1" w:styleId="31">
    <w:name w:val="Стиль3"/>
    <w:uiPriority w:val="99"/>
    <w:rsid w:val="003F7518"/>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27">
    <w:name w:val="Стиль2"/>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16">
    <w:name w:val="Стиль1"/>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paragraph" w:styleId="afd">
    <w:name w:val="annotation text"/>
    <w:basedOn w:val="a"/>
    <w:link w:val="afe"/>
    <w:uiPriority w:val="99"/>
    <w:semiHidden/>
    <w:rsid w:val="003F7518"/>
    <w:pPr>
      <w:suppressAutoHyphens w:val="0"/>
      <w:spacing w:line="240" w:lineRule="auto"/>
      <w:ind w:leftChars="0" w:left="0" w:firstLineChars="0" w:firstLine="0"/>
      <w:textDirection w:val="lrTb"/>
      <w:textAlignment w:val="auto"/>
      <w:outlineLvl w:val="9"/>
    </w:pPr>
    <w:rPr>
      <w:rFonts w:ascii="Calibri" w:eastAsia="Arial" w:hAnsi="Calibri" w:cs="Calibri"/>
      <w:color w:val="auto"/>
      <w:position w:val="0"/>
      <w:sz w:val="20"/>
    </w:rPr>
  </w:style>
  <w:style w:type="character" w:customStyle="1" w:styleId="afe">
    <w:name w:val="Текст примечания Знак"/>
    <w:basedOn w:val="a0"/>
    <w:link w:val="afd"/>
    <w:uiPriority w:val="99"/>
    <w:semiHidden/>
    <w:locked/>
    <w:rsid w:val="003F7518"/>
    <w:rPr>
      <w:rFonts w:cs="Times New Roman"/>
    </w:rPr>
  </w:style>
  <w:style w:type="character" w:styleId="aff">
    <w:name w:val="annotation reference"/>
    <w:basedOn w:val="a0"/>
    <w:uiPriority w:val="99"/>
    <w:semiHidden/>
    <w:rsid w:val="003F7518"/>
    <w:rPr>
      <w:rFonts w:cs="Times New Roman"/>
      <w:sz w:val="16"/>
      <w:szCs w:val="16"/>
    </w:rPr>
  </w:style>
  <w:style w:type="table" w:customStyle="1" w:styleId="150">
    <w:name w:val="Стиль15"/>
    <w:uiPriority w:val="99"/>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140">
    <w:name w:val="Стиль1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30">
    <w:name w:val="Стиль13"/>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20">
    <w:name w:val="Стиль12"/>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12">
    <w:name w:val="Стиль11"/>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00">
    <w:name w:val="Стиль10"/>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9">
    <w:name w:val="Стиль9"/>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8">
    <w:name w:val="Стиль8"/>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7">
    <w:name w:val="Стиль7"/>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61">
    <w:name w:val="Стиль6"/>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51">
    <w:name w:val="Стиль5"/>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41">
    <w:name w:val="Стиль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300">
    <w:name w:val="Стиль3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9">
    <w:name w:val="Стиль2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8">
    <w:name w:val="Стиль2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70">
    <w:name w:val="Стиль2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60">
    <w:name w:val="Стиль2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50">
    <w:name w:val="Стиль25"/>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40">
    <w:name w:val="Стиль24"/>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30">
    <w:name w:val="Стиль23"/>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20">
    <w:name w:val="Стиль22"/>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10">
    <w:name w:val="Стиль21"/>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00">
    <w:name w:val="Стиль2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9">
    <w:name w:val="Стиль1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8">
    <w:name w:val="Стиль1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7">
    <w:name w:val="Стиль1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60">
    <w:name w:val="Стиль1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paragraph" w:styleId="2a">
    <w:name w:val="Body Text Indent 2"/>
    <w:basedOn w:val="a"/>
    <w:link w:val="2b"/>
    <w:uiPriority w:val="99"/>
    <w:semiHidden/>
    <w:unhideWhenUsed/>
    <w:rsid w:val="00AD7FF3"/>
    <w:pPr>
      <w:spacing w:after="120" w:line="480" w:lineRule="auto"/>
      <w:ind w:left="283"/>
    </w:pPr>
  </w:style>
  <w:style w:type="character" w:customStyle="1" w:styleId="2b">
    <w:name w:val="Основной текст с отступом 2 Знак"/>
    <w:basedOn w:val="a0"/>
    <w:link w:val="2a"/>
    <w:uiPriority w:val="99"/>
    <w:semiHidden/>
    <w:rsid w:val="00AD7FF3"/>
    <w:rPr>
      <w:rFonts w:eastAsia="Times New Roman"/>
      <w:color w:val="000000"/>
      <w:position w:val="-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kmu.gov.ua/bills/proekt-zakonu-pro-geografichni-zaznachennya-spirtnikh-napoiv"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1733</Words>
  <Characters>9879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Тарас</cp:lastModifiedBy>
  <cp:revision>2</cp:revision>
  <dcterms:created xsi:type="dcterms:W3CDTF">2022-07-23T09:14:00Z</dcterms:created>
  <dcterms:modified xsi:type="dcterms:W3CDTF">2022-07-23T09:14:00Z</dcterms:modified>
</cp:coreProperties>
</file>