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88" w:rsidRDefault="00E01488">
      <w:pPr>
        <w:widowControl w:val="0"/>
        <w:ind w:left="0" w:hanging="2"/>
        <w:rPr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ffffffff9"/>
        <w:tblW w:w="88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"/>
        <w:gridCol w:w="8625"/>
      </w:tblGrid>
      <w:tr w:rsidR="00E01488">
        <w:trPr>
          <w:trHeight w:val="294"/>
        </w:trPr>
        <w:tc>
          <w:tcPr>
            <w:tcW w:w="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88" w:rsidRDefault="00C66486">
            <w:pPr>
              <w:spacing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88" w:rsidRDefault="00C66486">
            <w:pPr>
              <w:spacing w:line="240" w:lineRule="auto"/>
              <w:ind w:left="4" w:hanging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8313</w:t>
            </w:r>
          </w:p>
        </w:tc>
      </w:tr>
    </w:tbl>
    <w:p w:rsidR="00E01488" w:rsidRDefault="00C66486" w:rsidP="00DC460B">
      <w:pPr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E01488" w:rsidRDefault="00C66486" w:rsidP="00DC460B">
      <w:pPr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результатами проведення</w:t>
      </w:r>
    </w:p>
    <w:p w:rsidR="00E01488" w:rsidRDefault="00C66486" w:rsidP="00DC460B">
      <w:pPr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антикорупційної експертизи законопроєкту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Style w:val="afffffffffa"/>
        <w:tblW w:w="95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E01488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акта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88" w:rsidRDefault="00C66486" w:rsidP="00DC46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деяких законодавчих актів України щодо впорядкування надання та використання відпусток, а також інших питань</w:t>
            </w:r>
          </w:p>
        </w:tc>
      </w:tr>
      <w:tr w:rsidR="00E01488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реєстрації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</w:tr>
      <w:tr w:rsidR="00E01488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Народні депутати України</w:t>
            </w:r>
          </w:p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Третьякова Галина Миколаївна</w:t>
            </w:r>
          </w:p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Цимбалюк Михайло Михайлович</w:t>
            </w:r>
          </w:p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Ярослав Іванович</w:t>
            </w:r>
          </w:p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Кузнєцов Олексій Олександрович</w:t>
            </w:r>
          </w:p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Юрій Олександрович</w:t>
            </w:r>
          </w:p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Пасічний Олександр Станіславович</w:t>
            </w:r>
          </w:p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Остапенко Анатолій Дмитрович</w:t>
            </w:r>
          </w:p>
        </w:tc>
      </w:tr>
      <w:tr w:rsidR="00E01488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Комітет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 питань соціальної політики та захисту прав ветеранів</w:t>
            </w:r>
          </w:p>
        </w:tc>
      </w:tr>
      <w:tr w:rsidR="00E01488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88" w:rsidRDefault="00C66486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88" w:rsidRDefault="00DC460B" w:rsidP="00DC460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</w:p>
        </w:tc>
      </w:tr>
    </w:tbl>
    <w:p w:rsidR="00E01488" w:rsidRDefault="00E01488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 законопроєкту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Законопроєктом пропонується, зокрема, наступне: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перенесення вихідних та робочих днів, крім випадків встановлених Кодексом законів про працю України (далі - Кодекс), визначаються трудовим та/або колективним договором;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разі призову працівника на військову службу під час мобілізації, на особливий період, йому виплачується грошова компенсація за всі не використані ним дні щорічної відпустки;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збільшується з 15 до 30 календарних днів на рік строк відпустки без збереження заробітної плати за сімейними обставинами та з інших причин;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уточнюється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у період дії воєнного стану роботодавець може відмовити працівнику у наданні будь-якого виду відпусток (крім відпустки у зв’язку вагітністю 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пологами та відпустки для догляду за дитиною до досягнення нею трирічного віку), якщо такий працівник залучений до виконання робіт на об’єктах критичної інфраструктури, </w:t>
      </w:r>
      <w:r>
        <w:rPr>
          <w:rFonts w:ascii="Times New Roman" w:hAnsi="Times New Roman" w:cs="Times New Roman"/>
          <w:b/>
          <w:i/>
          <w:sz w:val="24"/>
          <w:szCs w:val="24"/>
        </w:rPr>
        <w:t>до виконання робіт, виробництва товарів оборонного призначення або до виконання мобілізаційного завдання (замовлення)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488" w:rsidRDefault="00E01488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результаті проведення антикорупційної експертизи законопроєкту Інститут законодавчих ідей не виявив в його положеннях корупціогенних факторів. Водночас, вважаємо за необхідне висловити зауваження по суті законопроєкту.</w:t>
      </w:r>
    </w:p>
    <w:p w:rsidR="00E01488" w:rsidRDefault="00E01488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Зауваження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Відповідно до законопроєкту тривалість відпусток визначатиметься, крім Закону України “Про відпустки”, інших законів та нормативно-правових актів України, також і </w:t>
      </w:r>
      <w:r>
        <w:rPr>
          <w:rFonts w:ascii="Times New Roman" w:hAnsi="Times New Roman" w:cs="Times New Roman"/>
          <w:b/>
          <w:sz w:val="24"/>
          <w:szCs w:val="24"/>
        </w:rPr>
        <w:t>колективним договором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угодою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b/>
          <w:sz w:val="24"/>
          <w:szCs w:val="24"/>
        </w:rPr>
        <w:t xml:space="preserve">трудовим договором </w:t>
      </w:r>
      <w:r>
        <w:rPr>
          <w:rFonts w:ascii="Times New Roman" w:hAnsi="Times New Roman" w:cs="Times New Roman"/>
          <w:sz w:val="24"/>
          <w:szCs w:val="24"/>
        </w:rPr>
        <w:t>(зміни до статті 5 Закону України “Про відпустки”).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Змінами до статті 76 Кодексу пропонується тривалість щорічних додаткових відпусток встановлювати також і </w:t>
      </w:r>
      <w:r>
        <w:rPr>
          <w:rFonts w:ascii="Times New Roman" w:hAnsi="Times New Roman" w:cs="Times New Roman"/>
          <w:b/>
          <w:sz w:val="24"/>
          <w:szCs w:val="24"/>
        </w:rPr>
        <w:t>трудовим</w:t>
      </w:r>
      <w:r>
        <w:rPr>
          <w:rFonts w:ascii="Times New Roman" w:hAnsi="Times New Roman" w:cs="Times New Roman"/>
          <w:sz w:val="24"/>
          <w:szCs w:val="24"/>
        </w:rPr>
        <w:t xml:space="preserve"> та/або </w:t>
      </w:r>
      <w:r>
        <w:rPr>
          <w:rFonts w:ascii="Times New Roman" w:hAnsi="Times New Roman" w:cs="Times New Roman"/>
          <w:b/>
          <w:sz w:val="24"/>
          <w:szCs w:val="24"/>
        </w:rPr>
        <w:t>колективним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(зараз - тільки нормативно-правовими актами України).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цьому, в законопроєкті чітко не визначено у яких випадках тривалість відпусток визначатиметься законодавством, а у яких - трудовим чи колективним договором.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Однак, із конституційних принципів рівності і справедливості випливає вимога визначеності, ясності і недвозначності правової норми, оскільки інше не може забезпечити її однакове застосування, не виключає необмеженості трактування у правозастосовній практиці і неминуче призводить до сваволі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розгляді законопроєкту необхідно враховувати, що статтею 75 Кодексу тривалість щорічної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основної відпустки встановлено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не менше як 24 календарних дні </w:t>
      </w:r>
      <w:r>
        <w:rPr>
          <w:rFonts w:ascii="Times New Roman" w:hAnsi="Times New Roman" w:cs="Times New Roman"/>
          <w:sz w:val="24"/>
          <w:szCs w:val="24"/>
          <w:highlight w:val="white"/>
        </w:rPr>
        <w:t>за відпрацьований робочий рік.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488" w:rsidRDefault="00E01488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Законопроєкт виключає із Кодексу та Закону України “Про відпустки” положення про надання </w:t>
      </w:r>
      <w:r>
        <w:rPr>
          <w:rFonts w:ascii="Times New Roman" w:hAnsi="Times New Roman" w:cs="Times New Roman"/>
          <w:b/>
          <w:sz w:val="24"/>
          <w:szCs w:val="24"/>
        </w:rPr>
        <w:t>творчих відпусток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супровідних документах до законопроєкту відсутнє належно аргументоване обґрунтування необхідності прийняття та реалізації такої законодавчої пропозиції.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Враховуючи, що творчі відпустки надаються, зокрема,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для закінчення дисертаційних робіт, написання підручників, провадження творчої діяльності, </w:t>
      </w:r>
      <w:r>
        <w:rPr>
          <w:rFonts w:ascii="Times New Roman" w:hAnsi="Times New Roman" w:cs="Times New Roman"/>
          <w:sz w:val="24"/>
          <w:szCs w:val="24"/>
        </w:rPr>
        <w:t xml:space="preserve">доцільність та доречність їх скасування викликає сумнів.  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Скасування творчих відпусток не узгоджується із статтею 22 Конституції України, згідно із якою при внесенні змін до чинних законів не допускається звуження змісту та обсягу існуючих прав і свобод.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Законопроєкт суперечить частині 1 статті 54 Закону України “Про освіту”, частині 2 статті 30 Закону України “Про культуру”,  частині 2 статті 21 Закону України “</w:t>
      </w:r>
      <w:r>
        <w:rPr>
          <w:rFonts w:ascii="Times New Roman" w:hAnsi="Times New Roman" w:cs="Times New Roman"/>
          <w:sz w:val="24"/>
          <w:szCs w:val="24"/>
          <w:highlight w:val="white"/>
        </w:rPr>
        <w:t>Про театри і театральну справу</w:t>
      </w:r>
      <w:r>
        <w:rPr>
          <w:rFonts w:ascii="Times New Roman" w:hAnsi="Times New Roman" w:cs="Times New Roman"/>
          <w:sz w:val="24"/>
          <w:szCs w:val="24"/>
        </w:rPr>
        <w:t>”, якими встановлено наступне: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педагогічні, науково-педагогічні та наукові працівники мають право на творчу відпустку строком до одного року не більше одного разу на 10 років із зарахуванням до стажу роботи;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професійні творчі працівники закладів культури та театрів мають право на творчу відпустку для провадження творчої діяльності.</w:t>
      </w:r>
    </w:p>
    <w:p w:rsidR="00E01488" w:rsidRDefault="00E01488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Проєкт вносить зміни до статті 77-3 та статті 19-1 Закону України “Про відпустки”, якими встановлюється вимога </w:t>
      </w:r>
      <w:r>
        <w:rPr>
          <w:rFonts w:ascii="Times New Roman" w:hAnsi="Times New Roman" w:cs="Times New Roman"/>
          <w:b/>
          <w:sz w:val="24"/>
          <w:szCs w:val="24"/>
        </w:rPr>
        <w:t>підтверджувати рішенням суду</w:t>
      </w:r>
      <w:r>
        <w:rPr>
          <w:rFonts w:ascii="Times New Roman" w:hAnsi="Times New Roman" w:cs="Times New Roman"/>
          <w:sz w:val="24"/>
          <w:szCs w:val="24"/>
        </w:rPr>
        <w:t xml:space="preserve"> спільне проживання, пов’язаність спільним побутом, наявність взаємних прав та обов'язків для отримання батьком дитини, який не перебуває у зареєстрованому шлюбі з матір’ю дитини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одноразової оплачуваної відпустки при народженні дитини тривалістю до 14 календарних днів. 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Зважаючи на завантаженість судів та тривалість судового процесу, прийняття та реалізація такої законодавчої пропозиції призведе до значного ускладнення отримання відпустки та встановлення безпідставних обмежень реалізації батьком своїх прав.</w:t>
      </w:r>
    </w:p>
    <w:p w:rsidR="00E01488" w:rsidRDefault="00E01488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Законопроєктом передбачено надання відпустки для підготовки та участі в спортивних змаганнях виключно, якщо це передбачено трудовим та/або колективним договором (зараз така відпустка гарантована Кодексом та Законом України “Про відпустки”).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Такі положення проєкту несуть ризик погіршення перспектив працевлаштування спортсменів та не узгоджуються із частиною 1 статті 43 Закону України “</w:t>
      </w:r>
      <w:r>
        <w:rPr>
          <w:rFonts w:ascii="Times New Roman" w:hAnsi="Times New Roman" w:cs="Times New Roman"/>
          <w:sz w:val="24"/>
          <w:szCs w:val="24"/>
          <w:highlight w:val="white"/>
        </w:rPr>
        <w:t>Про фізичну культуру і спорт</w:t>
      </w:r>
      <w:r>
        <w:rPr>
          <w:rFonts w:ascii="Times New Roman" w:hAnsi="Times New Roman" w:cs="Times New Roman"/>
          <w:sz w:val="24"/>
          <w:szCs w:val="24"/>
        </w:rPr>
        <w:t>”, відповідно до якої спортсменам, які беруть участь у всеукраїнських та міжнародних змаганнях, надається за місцем роботи відпустка для підготовки та участі в цих змаганнях у порядку, визначеному Кабінетом Міністрів України.</w:t>
      </w:r>
    </w:p>
    <w:p w:rsidR="00E01488" w:rsidRDefault="00E01488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Відповідно до нової частини 12 статті 26 Закону України “Про військовий обов'язок і військову службу” військовослужбовці, звільнені у зв’язку з демобілізацією із військової служби за призовом під час мобілізації, на особливий період, військової служби за призовом осіб із числа резервістів в особливий період, забезпечуються відпочинком тривалістю 60 робочих днів з виплатою двомісячного грошового забезпечення впродовж мобілізаційного періоду за рахунок Держаного бюджету України.</w:t>
      </w:r>
    </w:p>
    <w:p w:rsidR="00E01488" w:rsidRDefault="00C66486" w:rsidP="00107F72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Тому, прийняття та реалізація законопроекту вимагатиме збільшення видатків з Державного бюджету України. Але всупереч частині 1 статті 27 Бюджетного кодексу України та частині 3 статті 91 Регламенту Верховної Ради України суб'єкт права законодавчої ініціативи не додав фінансово-економічне обґрунтування (включаючи відповідні розрахунки) до законопроекту, прийняття якого призведе до зміни показників бюджету. </w:t>
      </w:r>
    </w:p>
    <w:p w:rsidR="00107F72" w:rsidRDefault="00107F72" w:rsidP="00107F72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Позиції державних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стейкхолдерів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Міністерство фінансів України та </w:t>
      </w:r>
      <w:r>
        <w:rPr>
          <w:rFonts w:ascii="Times New Roman" w:hAnsi="Times New Roman" w:cs="Times New Roman"/>
          <w:color w:val="1D1D1B"/>
          <w:sz w:val="24"/>
          <w:szCs w:val="24"/>
          <w:highlight w:val="white"/>
        </w:rPr>
        <w:t xml:space="preserve">Міністерство молоді та спорту України </w:t>
      </w:r>
      <w:r>
        <w:rPr>
          <w:rFonts w:ascii="Times New Roman" w:hAnsi="Times New Roman" w:cs="Times New Roman"/>
          <w:b/>
          <w:sz w:val="24"/>
          <w:szCs w:val="24"/>
        </w:rPr>
        <w:t>не підтримують</w:t>
      </w:r>
      <w:r>
        <w:rPr>
          <w:rFonts w:ascii="Times New Roman" w:hAnsi="Times New Roman" w:cs="Times New Roman"/>
          <w:sz w:val="24"/>
          <w:szCs w:val="24"/>
        </w:rPr>
        <w:t xml:space="preserve"> законопроєкт.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color w:val="1D1D1B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1D1D1B"/>
          <w:sz w:val="24"/>
          <w:szCs w:val="24"/>
          <w:highlight w:val="white"/>
        </w:rPr>
        <w:t xml:space="preserve">Міністерство оборони України </w:t>
      </w:r>
      <w:r>
        <w:rPr>
          <w:rFonts w:ascii="Times New Roman" w:hAnsi="Times New Roman" w:cs="Times New Roman"/>
          <w:b/>
          <w:color w:val="1D1D1B"/>
          <w:sz w:val="24"/>
          <w:szCs w:val="24"/>
          <w:highlight w:val="white"/>
        </w:rPr>
        <w:t xml:space="preserve">підтримує </w:t>
      </w:r>
      <w:r>
        <w:rPr>
          <w:rFonts w:ascii="Times New Roman" w:hAnsi="Times New Roman" w:cs="Times New Roman"/>
          <w:color w:val="1D1D1B"/>
          <w:sz w:val="24"/>
          <w:szCs w:val="24"/>
          <w:highlight w:val="white"/>
        </w:rPr>
        <w:t xml:space="preserve">проєкт </w:t>
      </w:r>
      <w:r>
        <w:rPr>
          <w:rFonts w:ascii="Times New Roman" w:hAnsi="Times New Roman" w:cs="Times New Roman"/>
          <w:b/>
          <w:color w:val="1D1D1B"/>
          <w:sz w:val="24"/>
          <w:szCs w:val="24"/>
          <w:highlight w:val="white"/>
        </w:rPr>
        <w:t>із зауваженнями</w:t>
      </w:r>
      <w:r>
        <w:rPr>
          <w:rFonts w:ascii="Times New Roman" w:hAnsi="Times New Roman" w:cs="Times New Roman"/>
          <w:color w:val="1D1D1B"/>
          <w:sz w:val="24"/>
          <w:szCs w:val="24"/>
          <w:highlight w:val="white"/>
        </w:rPr>
        <w:t>.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  <w:highlight w:val="white"/>
        </w:rPr>
        <w:t xml:space="preserve">3. Міністерство освіти і науки України та Державна прикордонна служба України </w:t>
      </w:r>
      <w:r>
        <w:rPr>
          <w:rFonts w:ascii="Times New Roman" w:hAnsi="Times New Roman" w:cs="Times New Roman"/>
          <w:sz w:val="24"/>
          <w:szCs w:val="24"/>
        </w:rPr>
        <w:t xml:space="preserve">вважають, що проєкт </w:t>
      </w:r>
      <w:r>
        <w:rPr>
          <w:rFonts w:ascii="Times New Roman" w:hAnsi="Times New Roman" w:cs="Times New Roman"/>
          <w:b/>
          <w:sz w:val="24"/>
          <w:szCs w:val="24"/>
        </w:rPr>
        <w:t>потребує доопрацювання.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color w:val="1D1D1B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1D1D1B"/>
          <w:sz w:val="24"/>
          <w:szCs w:val="24"/>
          <w:highlight w:val="white"/>
        </w:rPr>
        <w:t xml:space="preserve">Міністерство соціальної політики України </w:t>
      </w:r>
      <w:r>
        <w:rPr>
          <w:rFonts w:ascii="Times New Roman" w:hAnsi="Times New Roman" w:cs="Times New Roman"/>
          <w:b/>
          <w:color w:val="1D1D1B"/>
          <w:sz w:val="24"/>
          <w:szCs w:val="24"/>
          <w:highlight w:val="white"/>
        </w:rPr>
        <w:t xml:space="preserve">підтримує </w:t>
      </w:r>
      <w:r>
        <w:rPr>
          <w:rFonts w:ascii="Times New Roman" w:hAnsi="Times New Roman" w:cs="Times New Roman"/>
          <w:color w:val="1D1D1B"/>
          <w:sz w:val="24"/>
          <w:szCs w:val="24"/>
          <w:highlight w:val="white"/>
        </w:rPr>
        <w:t>законопроєкт.</w:t>
      </w: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color w:val="1D1D1B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1D1B"/>
          <w:sz w:val="24"/>
          <w:szCs w:val="24"/>
          <w:highlight w:val="white"/>
        </w:rPr>
        <w:t xml:space="preserve">5. Міністерство економіки України </w:t>
      </w:r>
      <w:r>
        <w:rPr>
          <w:rFonts w:ascii="Times New Roman" w:hAnsi="Times New Roman" w:cs="Times New Roman"/>
          <w:b/>
          <w:color w:val="1D1D1B"/>
          <w:sz w:val="24"/>
          <w:szCs w:val="24"/>
          <w:highlight w:val="white"/>
        </w:rPr>
        <w:t xml:space="preserve">підтримує </w:t>
      </w:r>
      <w:r>
        <w:rPr>
          <w:rFonts w:ascii="Times New Roman" w:hAnsi="Times New Roman" w:cs="Times New Roman"/>
          <w:color w:val="1D1D1B"/>
          <w:sz w:val="24"/>
          <w:szCs w:val="24"/>
          <w:highlight w:val="white"/>
        </w:rPr>
        <w:t xml:space="preserve">проєкт за умови його </w:t>
      </w:r>
      <w:r>
        <w:rPr>
          <w:rFonts w:ascii="Times New Roman" w:hAnsi="Times New Roman" w:cs="Times New Roman"/>
          <w:b/>
          <w:color w:val="1D1D1B"/>
          <w:sz w:val="24"/>
          <w:szCs w:val="24"/>
          <w:highlight w:val="white"/>
        </w:rPr>
        <w:t>доопрацювання</w:t>
      </w:r>
      <w:r>
        <w:rPr>
          <w:rFonts w:ascii="Times New Roman" w:hAnsi="Times New Roman" w:cs="Times New Roman"/>
          <w:color w:val="1D1D1B"/>
          <w:sz w:val="24"/>
          <w:szCs w:val="24"/>
          <w:highlight w:val="white"/>
        </w:rPr>
        <w:t>.</w:t>
      </w:r>
    </w:p>
    <w:p w:rsidR="00E01488" w:rsidRDefault="00E01488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Позиції недержавних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стейкхолдерів</w:t>
      </w:r>
      <w:proofErr w:type="spellEnd"/>
    </w:p>
    <w:p w:rsidR="00E01488" w:rsidRDefault="00C66486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Українською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Гельсинською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Спілкою з прав людини надано </w:t>
      </w:r>
      <w:r>
        <w:rPr>
          <w:rFonts w:ascii="Times New Roman" w:hAnsi="Times New Roman" w:cs="Times New Roman"/>
          <w:b/>
          <w:sz w:val="24"/>
          <w:szCs w:val="24"/>
        </w:rPr>
        <w:t xml:space="preserve">зауваження </w:t>
      </w:r>
      <w:r>
        <w:rPr>
          <w:rFonts w:ascii="Times New Roman" w:hAnsi="Times New Roman" w:cs="Times New Roman"/>
          <w:sz w:val="24"/>
          <w:szCs w:val="24"/>
        </w:rPr>
        <w:t>до проєкту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488" w:rsidRDefault="00E01488" w:rsidP="00DC460B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01488" w:rsidRDefault="00E01488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E01488" w:rsidRDefault="00E01488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E01488" w:rsidRDefault="00E01488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i/>
          <w:sz w:val="24"/>
          <w:szCs w:val="24"/>
          <w:highlight w:val="red"/>
        </w:rPr>
      </w:pPr>
    </w:p>
    <w:sectPr w:rsidR="00E01488">
      <w:headerReference w:type="firs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D0" w:rsidRDefault="00BB67D0">
      <w:pPr>
        <w:spacing w:line="240" w:lineRule="auto"/>
        <w:ind w:left="0" w:hanging="2"/>
      </w:pPr>
      <w:r>
        <w:separator/>
      </w:r>
    </w:p>
  </w:endnote>
  <w:endnote w:type="continuationSeparator" w:id="0">
    <w:p w:rsidR="00BB67D0" w:rsidRDefault="00BB67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D0" w:rsidRDefault="00BB67D0">
      <w:pPr>
        <w:spacing w:line="240" w:lineRule="auto"/>
        <w:ind w:left="0" w:hanging="2"/>
      </w:pPr>
      <w:r>
        <w:separator/>
      </w:r>
    </w:p>
  </w:footnote>
  <w:footnote w:type="continuationSeparator" w:id="0">
    <w:p w:rsidR="00BB67D0" w:rsidRDefault="00BB67D0">
      <w:pPr>
        <w:spacing w:line="240" w:lineRule="auto"/>
        <w:ind w:left="0" w:hanging="2"/>
      </w:pPr>
      <w:r>
        <w:continuationSeparator/>
      </w:r>
    </w:p>
  </w:footnote>
  <w:footnote w:id="1">
    <w:p w:rsidR="00E01488" w:rsidRDefault="00C66486">
      <w:pPr>
        <w:spacing w:line="240" w:lineRule="auto"/>
        <w:ind w:left="0" w:hanging="2"/>
        <w:jc w:val="both"/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  <w:footnote w:id="2">
    <w:p w:rsidR="00E01488" w:rsidRDefault="00C66486">
      <w:pPr>
        <w:spacing w:line="240" w:lineRule="auto"/>
        <w:ind w:left="0" w:hanging="2"/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hyperlink r:id="rId1" w:anchor="Text">
        <w:r>
          <w:rPr>
            <w:color w:val="1155CC"/>
            <w:sz w:val="20"/>
            <w:u w:val="single"/>
          </w:rPr>
          <w:t>https://zakon.rada.gov.ua/laws/show/v005p710-05#Text</w:t>
        </w:r>
      </w:hyperlink>
      <w:r>
        <w:rPr>
          <w:sz w:val="20"/>
        </w:rPr>
        <w:t xml:space="preserve"> </w:t>
      </w:r>
    </w:p>
  </w:footnote>
  <w:footnote w:id="3">
    <w:p w:rsidR="00E01488" w:rsidRDefault="00C66486">
      <w:pPr>
        <w:spacing w:line="240" w:lineRule="auto"/>
        <w:ind w:left="0" w:hanging="2"/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hyperlink r:id="rId2">
        <w:r>
          <w:rPr>
            <w:color w:val="1155CC"/>
            <w:sz w:val="20"/>
            <w:u w:val="single"/>
          </w:rPr>
          <w:t>https://www.kmu.gov.ua/bills/proekt-zakonu-pro-vnesennya-zmin-do-deyakikh-zakonodavchikh-aktiv-ukraini-shchodo-vporyadkuvannya-nadannya-ta-vikoristannya-vidpustok-a-takozh-inshikh-pitan</w:t>
        </w:r>
      </w:hyperlink>
      <w:r>
        <w:rPr>
          <w:sz w:val="20"/>
        </w:rPr>
        <w:t xml:space="preserve"> </w:t>
      </w:r>
    </w:p>
    <w:p w:rsidR="00E01488" w:rsidRDefault="00E01488">
      <w:pPr>
        <w:spacing w:line="240" w:lineRule="auto"/>
        <w:ind w:left="0" w:hanging="2"/>
        <w:rPr>
          <w:sz w:val="20"/>
        </w:rPr>
      </w:pPr>
    </w:p>
  </w:footnote>
  <w:footnote w:id="4">
    <w:p w:rsidR="00E01488" w:rsidRDefault="00C66486">
      <w:pPr>
        <w:spacing w:line="240" w:lineRule="auto"/>
        <w:ind w:left="0" w:hanging="2"/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hyperlink r:id="rId3">
        <w:r>
          <w:rPr>
            <w:color w:val="1155CC"/>
            <w:sz w:val="20"/>
            <w:u w:val="single"/>
          </w:rPr>
          <w:t>https://www.helsinki.org.ua/articles/niuansy-ukrainskoho-parlamentaryzmu-analiz-zakonoproiektu-shchodo-vidpustok/</w:t>
        </w:r>
      </w:hyperlink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88" w:rsidRDefault="00E01488">
    <w:pPr>
      <w:widowControl w:val="0"/>
      <w:ind w:left="0" w:hanging="2"/>
      <w:rPr>
        <w:sz w:val="20"/>
      </w:rPr>
    </w:pPr>
  </w:p>
  <w:tbl>
    <w:tblPr>
      <w:tblStyle w:val="afffffffffb"/>
      <w:tblW w:w="9719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E01488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01488" w:rsidRDefault="00C66486">
          <w:pPr>
            <w:spacing w:before="120"/>
            <w:ind w:left="0" w:hanging="2"/>
            <w:rPr>
              <w:rFonts w:ascii="Cambria" w:eastAsia="Cambria" w:hAnsi="Cambria" w:cs="Cambria"/>
              <w:color w:val="333399"/>
            </w:rPr>
          </w:pPr>
          <w:r>
            <w:rPr>
              <w:rFonts w:ascii="Cambria" w:eastAsia="Cambria" w:hAnsi="Cambria" w:cs="Cambria"/>
              <w:b/>
              <w:color w:val="333399"/>
            </w:rPr>
            <w:t xml:space="preserve">               </w:t>
          </w:r>
        </w:p>
        <w:p w:rsidR="00E01488" w:rsidRDefault="00C66486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E01488" w:rsidRDefault="00C66486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:rsidR="00E01488" w:rsidRDefault="00C66486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01488" w:rsidRDefault="00C66486">
          <w:pPr>
            <w:ind w:left="0" w:hanging="2"/>
            <w:jc w:val="center"/>
          </w:pPr>
          <w:r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01488" w:rsidRDefault="00C66486">
          <w:pPr>
            <w:ind w:left="0" w:hanging="2"/>
            <w:jc w:val="center"/>
          </w:pPr>
          <w:r>
            <w:rPr>
              <w:noProof/>
              <w:lang w:val="ru-RU"/>
            </w:rPr>
            <w:drawing>
              <wp:inline distT="0" distB="0" distL="0" distR="0">
                <wp:extent cx="2667000" cy="1685925"/>
                <wp:effectExtent l="0" t="0" r="0" b="0"/>
                <wp:docPr id="40" name="image1.png" descr="https://lh4.googleusercontent.com/nHCGlOQUBpGGAuU0DR6FkV93l3lZype4aJ8lutZUfixscQK4kpgo4sjsfJRnGCSz74YN14VuwED1DKM8J0kbj2PmK6rQbU-_ofQlJRM08iQMINiHIN7W2RI3pZhzQeR8irWCLJ-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01488" w:rsidRDefault="00E01488">
          <w:pPr>
            <w:spacing w:before="120"/>
            <w:ind w:left="0" w:hanging="2"/>
            <w:rPr>
              <w:rFonts w:ascii="Cambria" w:eastAsia="Cambria" w:hAnsi="Cambria" w:cs="Cambria"/>
              <w:color w:val="FF0000"/>
            </w:rPr>
          </w:pPr>
        </w:p>
        <w:p w:rsidR="00E01488" w:rsidRDefault="00C66486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:rsidR="00E01488" w:rsidRDefault="00C66486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:rsidR="00E01488" w:rsidRDefault="00C66486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E01488" w:rsidRDefault="00C66486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01488" w:rsidRDefault="00C66486">
          <w:pPr>
            <w:ind w:left="0" w:hanging="2"/>
            <w:jc w:val="center"/>
          </w:pPr>
          <w:r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01488" w:rsidRDefault="00E01488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88"/>
    <w:rsid w:val="00107F72"/>
    <w:rsid w:val="00BB67D0"/>
    <w:rsid w:val="00C66486"/>
    <w:rsid w:val="00DC460B"/>
    <w:rsid w:val="00E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33CDE-C643-4345-ABBB-53D038C9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0"/>
    <w:next w:val="10"/>
    <w:link w:val="11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</w:rPr>
  </w:style>
  <w:style w:type="paragraph" w:styleId="4">
    <w:name w:val="heading 4"/>
    <w:basedOn w:val="10"/>
    <w:next w:val="10"/>
    <w:link w:val="40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12">
    <w:name w:val="Обычный1"/>
    <w:uiPriority w:val="99"/>
    <w:rsid w:val="0002022E"/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3">
    <w:name w:val="normal3"/>
    <w:uiPriority w:val="99"/>
    <w:rsid w:val="0002022E"/>
  </w:style>
  <w:style w:type="paragraph" w:customStyle="1" w:styleId="normal2">
    <w:name w:val="normal2"/>
    <w:uiPriority w:val="99"/>
    <w:rsid w:val="0002022E"/>
  </w:style>
  <w:style w:type="paragraph" w:customStyle="1" w:styleId="normal1">
    <w:name w:val="normal1"/>
    <w:uiPriority w:val="99"/>
    <w:rsid w:val="0002022E"/>
  </w:style>
  <w:style w:type="paragraph" w:customStyle="1" w:styleId="10">
    <w:name w:val="Обычный1"/>
    <w:uiPriority w:val="99"/>
    <w:rPr>
      <w:sz w:val="20"/>
      <w:szCs w:val="20"/>
    </w:rPr>
  </w:style>
  <w:style w:type="paragraph" w:customStyle="1" w:styleId="StyleProp">
    <w:name w:val="StyleProp"/>
    <w:basedOn w:val="a"/>
    <w:uiPriority w:val="99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</w:rPr>
  </w:style>
  <w:style w:type="table" w:styleId="a5">
    <w:name w:val="Table Grid"/>
    <w:basedOn w:val="a1"/>
    <w:uiPriority w:val="9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</w:rPr>
  </w:style>
  <w:style w:type="character" w:customStyle="1" w:styleId="StyleZakonu0">
    <w:name w:val="StyleZakonu Знак"/>
    <w:uiPriority w:val="99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3">
    <w:name w:val="Кольоровий список — акцент 1"/>
    <w:basedOn w:val="a"/>
    <w:uiPriority w:val="99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aa">
    <w:name w:val="Нормальний текст"/>
    <w:basedOn w:val="a"/>
    <w:uiPriority w:val="99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</w:rPr>
  </w:style>
  <w:style w:type="paragraph" w:customStyle="1" w:styleId="ParagraphStyle">
    <w:name w:val="Paragraph Style"/>
    <w:uiPriority w:val="9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/>
    </w:rPr>
  </w:style>
  <w:style w:type="character" w:customStyle="1" w:styleId="StyleProp0">
    <w:name w:val="StyleProp Знак"/>
    <w:uiPriority w:val="99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pPr>
      <w:ind w:left="708"/>
    </w:pPr>
  </w:style>
  <w:style w:type="paragraph" w:customStyle="1" w:styleId="StyleProp2">
    <w:name w:val="StyleProp2"/>
    <w:basedOn w:val="a"/>
    <w:uiPriority w:val="99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</w:rPr>
  </w:style>
  <w:style w:type="paragraph" w:styleId="ac">
    <w:name w:val="Balloon Text"/>
    <w:basedOn w:val="a"/>
    <w:link w:val="ad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pPr>
      <w:autoSpaceDN w:val="0"/>
      <w:ind w:leftChars="-1" w:left="-1" w:hangingChars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4">
    <w:name w:val="Без интервала1"/>
    <w:uiPriority w:val="9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/>
    </w:rPr>
  </w:style>
  <w:style w:type="character" w:customStyle="1" w:styleId="25">
    <w:name w:val="Основний текст (2)_"/>
    <w:uiPriority w:val="99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5">
    <w:name w:val="Абзац списка1"/>
    <w:basedOn w:val="a"/>
    <w:uiPriority w:val="99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pPr>
      <w:suppressAutoHyphens/>
      <w:spacing w:after="200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a"/>
    <w:next w:val="a"/>
    <w:link w:val="a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Pr>
      <w:rFonts w:cs="Times New Roman"/>
    </w:rPr>
  </w:style>
  <w:style w:type="character" w:styleId="aff">
    <w:name w:val="annotation reference"/>
    <w:basedOn w:val="a0"/>
    <w:uiPriority w:val="99"/>
    <w:semiHidden/>
    <w:rPr>
      <w:rFonts w:cs="Times New Roman"/>
      <w:sz w:val="16"/>
      <w:szCs w:val="16"/>
    </w:rPr>
  </w:style>
  <w:style w:type="table" w:customStyle="1" w:styleId="150">
    <w:name w:val="Стиль15"/>
    <w:uiPriority w:val="99"/>
    <w:rsid w:val="0002022E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rsid w:val="000202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rsid w:val="000202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rsid w:val="000202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rsid w:val="000202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rsid w:val="000202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0202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0202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0202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0202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0202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0202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f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ff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lsinki.org.ua/articles/niuansy-ukrainskoho-parlamentaryzmu-analiz-zakonoproiektu-shchodo-vidpustok/" TargetMode="External"/><Relationship Id="rId2" Type="http://schemas.openxmlformats.org/officeDocument/2006/relationships/hyperlink" Target="https://www.kmu.gov.ua/bills/proekt-zakonu-pro-vnesennya-zmin-do-deyakikh-zakonodavchikh-aktiv-ukraini-shchodo-vporyadkuvannya-nadannya-ta-vikoristannya-vidpustok-a-takozh-inshikh-pitan" TargetMode="External"/><Relationship Id="rId1" Type="http://schemas.openxmlformats.org/officeDocument/2006/relationships/hyperlink" Target="https://zakon.rada.gov.ua/laws/show/v005p710-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H81LtkYCSef9hYmaAUMqKbQXyw==">AMUW2mWicoZrg5PAPWsZx4DsQ36ugJ//hugJbhl4fQNEBdMoKSthb+5lBye1Obi+IaNwdLJfciUboZ5JFy7+ko1IDsHG/rFohn0wzOSUccyEMAdh+YWW9MMexfLzM1ojmUaaYz/7Hp7Y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</dc:creator>
  <cp:lastModifiedBy>Тарас</cp:lastModifiedBy>
  <cp:revision>2</cp:revision>
  <dcterms:created xsi:type="dcterms:W3CDTF">2023-09-14T15:13:00Z</dcterms:created>
  <dcterms:modified xsi:type="dcterms:W3CDTF">2023-09-14T15:13:00Z</dcterms:modified>
</cp:coreProperties>
</file>