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05C" w:rsidRDefault="00A2405C">
      <w:pPr>
        <w:widowControl w:val="0"/>
        <w:ind w:left="0" w:hanging="2"/>
        <w:rPr>
          <w:sz w:val="24"/>
          <w:szCs w:val="24"/>
        </w:rPr>
      </w:pPr>
      <w:bookmarkStart w:id="0" w:name="_heading=h.gjdgxs" w:colFirst="0" w:colLast="0"/>
      <w:bookmarkEnd w:id="0"/>
    </w:p>
    <w:tbl>
      <w:tblPr>
        <w:tblStyle w:val="affffffffffe"/>
        <w:tblW w:w="8880" w:type="dxa"/>
        <w:tblInd w:w="0" w:type="dxa"/>
        <w:tblLayout w:type="fixed"/>
        <w:tblLook w:val="0000" w:firstRow="0" w:lastRow="0" w:firstColumn="0" w:lastColumn="0" w:noHBand="0" w:noVBand="0"/>
      </w:tblPr>
      <w:tblGrid>
        <w:gridCol w:w="255"/>
        <w:gridCol w:w="8625"/>
      </w:tblGrid>
      <w:tr w:rsidR="00A2405C">
        <w:trPr>
          <w:trHeight w:val="294"/>
        </w:trPr>
        <w:tc>
          <w:tcPr>
            <w:tcW w:w="255" w:type="dxa"/>
            <w:tcMar>
              <w:top w:w="100" w:type="dxa"/>
              <w:left w:w="100" w:type="dxa"/>
              <w:bottom w:w="100" w:type="dxa"/>
              <w:right w:w="100" w:type="dxa"/>
            </w:tcMar>
          </w:tcPr>
          <w:p w:rsidR="00A2405C" w:rsidRDefault="005A50FD">
            <w:pPr>
              <w:spacing w:line="240" w:lineRule="auto"/>
              <w:ind w:left="0" w:hanging="2"/>
              <w:jc w:val="right"/>
              <w:rPr>
                <w:rFonts w:ascii="Times New Roman" w:hAnsi="Times New Roman" w:cs="Times New Roman"/>
                <w:sz w:val="24"/>
                <w:szCs w:val="24"/>
              </w:rPr>
            </w:pPr>
            <w:r>
              <w:rPr>
                <w:rFonts w:ascii="Times New Roman" w:hAnsi="Times New Roman" w:cs="Times New Roman"/>
                <w:sz w:val="24"/>
                <w:szCs w:val="24"/>
              </w:rPr>
              <w:br/>
              <w:t> </w:t>
            </w:r>
          </w:p>
        </w:tc>
        <w:tc>
          <w:tcPr>
            <w:tcW w:w="8625" w:type="dxa"/>
            <w:tcMar>
              <w:top w:w="100" w:type="dxa"/>
              <w:left w:w="100" w:type="dxa"/>
              <w:bottom w:w="100" w:type="dxa"/>
              <w:right w:w="100" w:type="dxa"/>
            </w:tcMar>
          </w:tcPr>
          <w:p w:rsidR="00A2405C" w:rsidRPr="0037165B" w:rsidRDefault="0037165B">
            <w:pPr>
              <w:spacing w:line="240" w:lineRule="auto"/>
              <w:ind w:left="4" w:hanging="6"/>
              <w:jc w:val="right"/>
              <w:rPr>
                <w:rFonts w:ascii="Times New Roman" w:hAnsi="Times New Roman" w:cs="Times New Roman"/>
                <w:sz w:val="24"/>
                <w:szCs w:val="24"/>
                <w:lang w:val="en-US"/>
              </w:rPr>
            </w:pPr>
            <w:r>
              <w:rPr>
                <w:rFonts w:ascii="Times New Roman" w:hAnsi="Times New Roman" w:cs="Times New Roman"/>
                <w:b/>
                <w:sz w:val="56"/>
                <w:szCs w:val="56"/>
                <w:lang w:val="en-US"/>
              </w:rPr>
              <w:t>10256</w:t>
            </w:r>
          </w:p>
        </w:tc>
      </w:tr>
    </w:tbl>
    <w:p w:rsidR="00A2405C" w:rsidRDefault="005A50FD" w:rsidP="00AA66BC">
      <w:pPr>
        <w:spacing w:line="240" w:lineRule="auto"/>
        <w:ind w:leftChars="0" w:left="0" w:firstLineChars="0" w:firstLine="0"/>
        <w:jc w:val="center"/>
        <w:outlineLvl w:val="9"/>
        <w:rPr>
          <w:rFonts w:ascii="Times New Roman" w:hAnsi="Times New Roman" w:cs="Times New Roman"/>
          <w:sz w:val="24"/>
          <w:szCs w:val="24"/>
        </w:rPr>
      </w:pPr>
      <w:r>
        <w:rPr>
          <w:rFonts w:ascii="Times New Roman" w:hAnsi="Times New Roman" w:cs="Times New Roman"/>
          <w:b/>
          <w:sz w:val="24"/>
          <w:szCs w:val="24"/>
        </w:rPr>
        <w:t>ВИСНОВОК</w:t>
      </w:r>
    </w:p>
    <w:p w:rsidR="00A2405C" w:rsidRDefault="005A50FD" w:rsidP="00AA66BC">
      <w:pPr>
        <w:spacing w:line="240" w:lineRule="auto"/>
        <w:ind w:leftChars="0" w:left="0" w:firstLineChars="0" w:firstLine="0"/>
        <w:jc w:val="center"/>
        <w:outlineLvl w:val="9"/>
        <w:rPr>
          <w:rFonts w:ascii="Times New Roman" w:hAnsi="Times New Roman" w:cs="Times New Roman"/>
          <w:sz w:val="24"/>
          <w:szCs w:val="24"/>
        </w:rPr>
      </w:pPr>
      <w:r>
        <w:rPr>
          <w:rFonts w:ascii="Times New Roman" w:hAnsi="Times New Roman" w:cs="Times New Roman"/>
          <w:sz w:val="24"/>
          <w:szCs w:val="24"/>
        </w:rPr>
        <w:t>за результатами проведення</w:t>
      </w:r>
    </w:p>
    <w:p w:rsidR="00A2405C" w:rsidRDefault="005A50FD" w:rsidP="00AA66BC">
      <w:pPr>
        <w:spacing w:line="240" w:lineRule="auto"/>
        <w:ind w:leftChars="0" w:left="0" w:firstLineChars="0" w:firstLine="0"/>
        <w:jc w:val="center"/>
        <w:outlineLvl w:val="9"/>
        <w:rPr>
          <w:rFonts w:ascii="Times New Roman" w:hAnsi="Times New Roman" w:cs="Times New Roman"/>
          <w:sz w:val="24"/>
          <w:szCs w:val="24"/>
        </w:rPr>
      </w:pPr>
      <w:r>
        <w:rPr>
          <w:rFonts w:ascii="Times New Roman" w:hAnsi="Times New Roman" w:cs="Times New Roman"/>
          <w:sz w:val="24"/>
          <w:szCs w:val="24"/>
        </w:rPr>
        <w:t>експертизи законопроєкту</w:t>
      </w:r>
    </w:p>
    <w:tbl>
      <w:tblPr>
        <w:tblW w:w="9576" w:type="dxa"/>
        <w:tblInd w:w="-1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000" w:firstRow="0" w:lastRow="0" w:firstColumn="0" w:lastColumn="0" w:noHBand="0" w:noVBand="0"/>
      </w:tblPr>
      <w:tblGrid>
        <w:gridCol w:w="2552"/>
        <w:gridCol w:w="7024"/>
      </w:tblGrid>
      <w:tr w:rsidR="0037165B" w:rsidRPr="00F104E5" w:rsidTr="004442EE">
        <w:tc>
          <w:tcPr>
            <w:tcW w:w="2552"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37165B" w:rsidRDefault="0037165B" w:rsidP="0037165B">
            <w:pPr>
              <w:spacing w:line="240" w:lineRule="auto"/>
              <w:ind w:left="0" w:hanging="2"/>
              <w:jc w:val="center"/>
              <w:rPr>
                <w:rFonts w:ascii="Times New Roman" w:hAnsi="Times New Roman" w:cs="Times New Roman"/>
                <w:sz w:val="24"/>
                <w:szCs w:val="24"/>
              </w:rPr>
            </w:pPr>
            <w:r>
              <w:rPr>
                <w:rFonts w:ascii="Times New Roman" w:hAnsi="Times New Roman" w:cs="Times New Roman"/>
                <w:b/>
                <w:sz w:val="24"/>
                <w:szCs w:val="24"/>
              </w:rPr>
              <w:t>Назва акта</w:t>
            </w:r>
          </w:p>
        </w:tc>
        <w:tc>
          <w:tcPr>
            <w:tcW w:w="7024" w:type="dxa"/>
            <w:tcBorders>
              <w:top w:val="single" w:sz="8" w:space="0" w:color="BFBFBF"/>
              <w:bottom w:val="single" w:sz="8" w:space="0" w:color="BFBFBF"/>
              <w:right w:val="single" w:sz="8" w:space="0" w:color="BFBFBF"/>
            </w:tcBorders>
            <w:tcMar>
              <w:top w:w="100" w:type="dxa"/>
              <w:left w:w="100" w:type="dxa"/>
              <w:bottom w:w="100" w:type="dxa"/>
              <w:right w:w="100" w:type="dxa"/>
            </w:tcMar>
          </w:tcPr>
          <w:p w:rsidR="0037165B" w:rsidRPr="0037165B" w:rsidRDefault="0037165B" w:rsidP="0037165B">
            <w:pPr>
              <w:pStyle w:val="3"/>
              <w:shd w:val="clear" w:color="auto" w:fill="FFFFFF"/>
              <w:spacing w:before="0" w:after="0" w:line="240" w:lineRule="auto"/>
              <w:ind w:left="0" w:hanging="2"/>
              <w:jc w:val="center"/>
              <w:rPr>
                <w:rFonts w:eastAsia="Times New Roman"/>
                <w:b w:val="0"/>
                <w:color w:val="000000"/>
                <w:sz w:val="24"/>
                <w:szCs w:val="24"/>
              </w:rPr>
            </w:pPr>
            <w:r w:rsidRPr="0037165B">
              <w:rPr>
                <w:rFonts w:eastAsia="Times New Roman"/>
                <w:b w:val="0"/>
                <w:color w:val="000000"/>
                <w:sz w:val="24"/>
                <w:szCs w:val="24"/>
              </w:rPr>
              <w:t>Про облік осіб, життю та здоров’ю яких завдано шкоди внаслідок збройної агресії Російської Федерації проти України</w:t>
            </w:r>
          </w:p>
        </w:tc>
      </w:tr>
      <w:tr w:rsidR="0037165B" w:rsidRPr="00F104E5" w:rsidTr="004442EE">
        <w:tc>
          <w:tcPr>
            <w:tcW w:w="2552" w:type="dxa"/>
            <w:tcBorders>
              <w:left w:val="single" w:sz="8" w:space="0" w:color="BFBFBF"/>
              <w:bottom w:val="single" w:sz="8" w:space="0" w:color="BFBFBF"/>
              <w:right w:val="single" w:sz="8" w:space="0" w:color="BFBFBF"/>
            </w:tcBorders>
            <w:shd w:val="clear" w:color="auto" w:fill="FFFFFF"/>
            <w:tcMar>
              <w:top w:w="100" w:type="dxa"/>
              <w:left w:w="100" w:type="dxa"/>
              <w:bottom w:w="100" w:type="dxa"/>
              <w:right w:w="100" w:type="dxa"/>
            </w:tcMar>
          </w:tcPr>
          <w:p w:rsidR="0037165B" w:rsidRDefault="0037165B" w:rsidP="0037165B">
            <w:pPr>
              <w:spacing w:line="240" w:lineRule="auto"/>
              <w:ind w:left="0" w:hanging="2"/>
              <w:jc w:val="center"/>
              <w:rPr>
                <w:rFonts w:ascii="Times New Roman" w:hAnsi="Times New Roman" w:cs="Times New Roman"/>
                <w:sz w:val="24"/>
                <w:szCs w:val="24"/>
              </w:rPr>
            </w:pPr>
            <w:r>
              <w:rPr>
                <w:rFonts w:ascii="Times New Roman" w:hAnsi="Times New Roman" w:cs="Times New Roman"/>
                <w:b/>
                <w:sz w:val="24"/>
                <w:szCs w:val="24"/>
              </w:rPr>
              <w:t>Дата реєстрації</w:t>
            </w:r>
          </w:p>
        </w:tc>
        <w:tc>
          <w:tcPr>
            <w:tcW w:w="7024" w:type="dxa"/>
            <w:tcBorders>
              <w:bottom w:val="single" w:sz="8" w:space="0" w:color="BFBFBF"/>
              <w:right w:val="single" w:sz="8" w:space="0" w:color="BFBFBF"/>
            </w:tcBorders>
            <w:tcMar>
              <w:top w:w="100" w:type="dxa"/>
              <w:left w:w="100" w:type="dxa"/>
              <w:bottom w:w="100" w:type="dxa"/>
              <w:right w:w="100" w:type="dxa"/>
            </w:tcMar>
          </w:tcPr>
          <w:p w:rsidR="0037165B" w:rsidRDefault="0037165B" w:rsidP="0037165B">
            <w:pPr>
              <w:spacing w:line="240" w:lineRule="auto"/>
              <w:ind w:left="0" w:hanging="2"/>
              <w:jc w:val="center"/>
              <w:rPr>
                <w:rFonts w:ascii="Times New Roman" w:hAnsi="Times New Roman" w:cs="Times New Roman"/>
                <w:sz w:val="24"/>
                <w:szCs w:val="24"/>
              </w:rPr>
            </w:pPr>
            <w:r>
              <w:rPr>
                <w:rFonts w:ascii="Times New Roman" w:hAnsi="Times New Roman" w:cs="Times New Roman"/>
                <w:sz w:val="24"/>
                <w:szCs w:val="24"/>
              </w:rPr>
              <w:t>13.11.2023</w:t>
            </w:r>
          </w:p>
        </w:tc>
      </w:tr>
      <w:tr w:rsidR="0037165B" w:rsidRPr="00F104E5" w:rsidTr="004442EE">
        <w:trPr>
          <w:trHeight w:val="761"/>
        </w:trPr>
        <w:tc>
          <w:tcPr>
            <w:tcW w:w="2552" w:type="dxa"/>
            <w:tcBorders>
              <w:left w:val="single" w:sz="8" w:space="0" w:color="BFBFBF"/>
              <w:bottom w:val="single" w:sz="8" w:space="0" w:color="BFBFBF"/>
              <w:right w:val="single" w:sz="8" w:space="0" w:color="BFBFBF"/>
            </w:tcBorders>
            <w:tcMar>
              <w:top w:w="100" w:type="dxa"/>
              <w:left w:w="100" w:type="dxa"/>
              <w:bottom w:w="100" w:type="dxa"/>
              <w:right w:w="100" w:type="dxa"/>
            </w:tcMar>
          </w:tcPr>
          <w:p w:rsidR="0037165B" w:rsidRDefault="0037165B" w:rsidP="0037165B">
            <w:pPr>
              <w:spacing w:line="240" w:lineRule="auto"/>
              <w:ind w:left="0" w:hanging="2"/>
              <w:jc w:val="center"/>
              <w:rPr>
                <w:rFonts w:ascii="Times New Roman" w:hAnsi="Times New Roman" w:cs="Times New Roman"/>
                <w:b/>
                <w:sz w:val="24"/>
                <w:szCs w:val="24"/>
              </w:rPr>
            </w:pPr>
            <w:r>
              <w:rPr>
                <w:rFonts w:ascii="Times New Roman" w:hAnsi="Times New Roman" w:cs="Times New Roman"/>
                <w:b/>
                <w:sz w:val="24"/>
                <w:szCs w:val="24"/>
              </w:rPr>
              <w:t>Суб’єкт права законодавчої ініціативи</w:t>
            </w:r>
          </w:p>
        </w:tc>
        <w:tc>
          <w:tcPr>
            <w:tcW w:w="7024" w:type="dxa"/>
            <w:tcBorders>
              <w:bottom w:val="single" w:sz="8" w:space="0" w:color="BFBFBF"/>
              <w:right w:val="single" w:sz="8" w:space="0" w:color="BFBFBF"/>
            </w:tcBorders>
            <w:tcMar>
              <w:top w:w="100" w:type="dxa"/>
              <w:left w:w="100" w:type="dxa"/>
              <w:bottom w:w="100" w:type="dxa"/>
              <w:right w:w="100" w:type="dxa"/>
            </w:tcMar>
          </w:tcPr>
          <w:p w:rsidR="0037165B" w:rsidRDefault="0037165B" w:rsidP="0037165B">
            <w:pPr>
              <w:shd w:val="clear" w:color="auto" w:fill="FFFFFF"/>
              <w:spacing w:line="240" w:lineRule="auto"/>
              <w:ind w:left="0" w:hanging="2"/>
              <w:jc w:val="center"/>
              <w:rPr>
                <w:rFonts w:ascii="Times New Roman" w:hAnsi="Times New Roman" w:cs="Times New Roman"/>
                <w:sz w:val="24"/>
                <w:szCs w:val="24"/>
              </w:rPr>
            </w:pPr>
            <w:r>
              <w:rPr>
                <w:rFonts w:ascii="Times New Roman" w:hAnsi="Times New Roman" w:cs="Times New Roman"/>
                <w:sz w:val="24"/>
                <w:szCs w:val="24"/>
              </w:rPr>
              <w:t>Кабінет Міністрів України</w:t>
            </w:r>
            <w:r>
              <w:rPr>
                <w:rFonts w:ascii="Times New Roman" w:hAnsi="Times New Roman" w:cs="Times New Roman"/>
                <w:sz w:val="24"/>
                <w:szCs w:val="24"/>
              </w:rPr>
              <w:br/>
              <w:t>Шмигаль Денис Анатолійович</w:t>
            </w:r>
          </w:p>
          <w:p w:rsidR="0037165B" w:rsidRDefault="0037165B" w:rsidP="0037165B">
            <w:pPr>
              <w:shd w:val="clear" w:color="auto" w:fill="FFFFFF"/>
              <w:spacing w:line="240" w:lineRule="auto"/>
              <w:ind w:left="0" w:hanging="2"/>
              <w:jc w:val="center"/>
              <w:rPr>
                <w:rFonts w:ascii="Times New Roman" w:hAnsi="Times New Roman" w:cs="Times New Roman"/>
                <w:sz w:val="24"/>
                <w:szCs w:val="24"/>
              </w:rPr>
            </w:pPr>
          </w:p>
        </w:tc>
      </w:tr>
      <w:tr w:rsidR="0037165B" w:rsidRPr="00F104E5" w:rsidTr="004442EE">
        <w:trPr>
          <w:trHeight w:val="287"/>
        </w:trPr>
        <w:tc>
          <w:tcPr>
            <w:tcW w:w="2552" w:type="dxa"/>
            <w:tcBorders>
              <w:left w:val="single" w:sz="8" w:space="0" w:color="BFBFBF"/>
              <w:bottom w:val="single" w:sz="8" w:space="0" w:color="BFBFBF"/>
              <w:right w:val="single" w:sz="8" w:space="0" w:color="BFBFBF"/>
            </w:tcBorders>
            <w:tcMar>
              <w:top w:w="100" w:type="dxa"/>
              <w:left w:w="100" w:type="dxa"/>
              <w:bottom w:w="100" w:type="dxa"/>
              <w:right w:w="100" w:type="dxa"/>
            </w:tcMar>
          </w:tcPr>
          <w:p w:rsidR="0037165B" w:rsidRDefault="0037165B" w:rsidP="0037165B">
            <w:pPr>
              <w:spacing w:line="240" w:lineRule="auto"/>
              <w:ind w:left="0" w:hanging="2"/>
              <w:jc w:val="center"/>
              <w:rPr>
                <w:rFonts w:ascii="Times New Roman" w:hAnsi="Times New Roman" w:cs="Times New Roman"/>
                <w:b/>
                <w:sz w:val="24"/>
                <w:szCs w:val="24"/>
              </w:rPr>
            </w:pPr>
            <w:r>
              <w:rPr>
                <w:rFonts w:ascii="Times New Roman" w:hAnsi="Times New Roman" w:cs="Times New Roman"/>
                <w:b/>
                <w:sz w:val="24"/>
                <w:szCs w:val="24"/>
              </w:rPr>
              <w:t>Головний комітет</w:t>
            </w:r>
          </w:p>
        </w:tc>
        <w:tc>
          <w:tcPr>
            <w:tcW w:w="7024" w:type="dxa"/>
            <w:tcBorders>
              <w:bottom w:val="single" w:sz="8" w:space="0" w:color="BFBFBF"/>
              <w:right w:val="single" w:sz="8" w:space="0" w:color="BFBFBF"/>
            </w:tcBorders>
            <w:tcMar>
              <w:top w:w="100" w:type="dxa"/>
              <w:left w:w="100" w:type="dxa"/>
              <w:bottom w:w="100" w:type="dxa"/>
              <w:right w:w="100" w:type="dxa"/>
            </w:tcMar>
          </w:tcPr>
          <w:p w:rsidR="0037165B" w:rsidRDefault="0037165B" w:rsidP="0037165B">
            <w:pPr>
              <w:spacing w:line="240" w:lineRule="auto"/>
              <w:ind w:left="0" w:hanging="2"/>
              <w:jc w:val="center"/>
              <w:rPr>
                <w:rFonts w:ascii="Times New Roman" w:hAnsi="Times New Roman" w:cs="Times New Roman"/>
                <w:sz w:val="24"/>
                <w:szCs w:val="24"/>
              </w:rPr>
            </w:pPr>
            <w:r>
              <w:rPr>
                <w:rFonts w:ascii="Times New Roman" w:hAnsi="Times New Roman" w:cs="Times New Roman"/>
                <w:sz w:val="24"/>
                <w:szCs w:val="24"/>
              </w:rPr>
              <w:t>Комітет з питань соціальної політики та захисту прав ветеранів</w:t>
            </w:r>
          </w:p>
        </w:tc>
      </w:tr>
      <w:tr w:rsidR="00F104E5" w:rsidRPr="00F104E5" w:rsidTr="00F42D00">
        <w:trPr>
          <w:trHeight w:val="287"/>
        </w:trPr>
        <w:tc>
          <w:tcPr>
            <w:tcW w:w="2552" w:type="dxa"/>
            <w:tcMar>
              <w:top w:w="100" w:type="dxa"/>
              <w:left w:w="100" w:type="dxa"/>
              <w:bottom w:w="100" w:type="dxa"/>
              <w:right w:w="100" w:type="dxa"/>
            </w:tcMar>
          </w:tcPr>
          <w:p w:rsidR="00F104E5" w:rsidRPr="00F104E5" w:rsidRDefault="00F104E5" w:rsidP="00F104E5">
            <w:pPr>
              <w:suppressAutoHyphens w:val="0"/>
              <w:spacing w:line="240" w:lineRule="auto"/>
              <w:ind w:leftChars="0" w:left="0" w:firstLineChars="0" w:firstLine="0"/>
              <w:jc w:val="center"/>
              <w:textDirection w:val="lrTb"/>
              <w:textAlignment w:val="auto"/>
              <w:outlineLvl w:val="9"/>
              <w:rPr>
                <w:rFonts w:ascii="Times New Roman" w:hAnsi="Times New Roman" w:cs="Times New Roman"/>
                <w:b/>
                <w:position w:val="0"/>
                <w:sz w:val="24"/>
                <w:szCs w:val="24"/>
                <w:lang w:eastAsia="uk-UA"/>
              </w:rPr>
            </w:pPr>
            <w:r w:rsidRPr="00F104E5">
              <w:rPr>
                <w:rFonts w:ascii="Times New Roman" w:hAnsi="Times New Roman" w:cs="Times New Roman"/>
                <w:b/>
                <w:position w:val="0"/>
                <w:sz w:val="24"/>
                <w:szCs w:val="24"/>
                <w:lang w:eastAsia="uk-UA"/>
              </w:rPr>
              <w:t>Висновок та рекомендації</w:t>
            </w:r>
          </w:p>
        </w:tc>
        <w:tc>
          <w:tcPr>
            <w:tcW w:w="7024" w:type="dxa"/>
            <w:tcMar>
              <w:top w:w="100" w:type="dxa"/>
              <w:left w:w="100" w:type="dxa"/>
              <w:bottom w:w="100" w:type="dxa"/>
              <w:right w:w="100" w:type="dxa"/>
            </w:tcMar>
          </w:tcPr>
          <w:p w:rsidR="00F104E5" w:rsidRPr="00F104E5" w:rsidRDefault="00F104E5" w:rsidP="00F104E5">
            <w:pPr>
              <w:suppressAutoHyphens w:val="0"/>
              <w:spacing w:line="240" w:lineRule="auto"/>
              <w:ind w:leftChars="0" w:left="0" w:firstLineChars="0" w:firstLine="0"/>
              <w:jc w:val="center"/>
              <w:textDirection w:val="lrTb"/>
              <w:textAlignment w:val="auto"/>
              <w:outlineLvl w:val="9"/>
              <w:rPr>
                <w:rFonts w:ascii="Times New Roman" w:hAnsi="Times New Roman" w:cs="Times New Roman"/>
                <w:position w:val="0"/>
                <w:sz w:val="24"/>
                <w:szCs w:val="24"/>
                <w:lang w:eastAsia="uk-UA"/>
              </w:rPr>
            </w:pPr>
            <w:r w:rsidRPr="00F104E5">
              <w:rPr>
                <w:rFonts w:ascii="Times New Roman" w:hAnsi="Times New Roman" w:cs="Times New Roman"/>
                <w:position w:val="0"/>
                <w:sz w:val="24"/>
                <w:szCs w:val="24"/>
                <w:lang w:eastAsia="uk-UA"/>
              </w:rPr>
              <w:t>Зауваження</w:t>
            </w:r>
          </w:p>
        </w:tc>
      </w:tr>
    </w:tbl>
    <w:p w:rsidR="00F104E5" w:rsidRPr="00F104E5" w:rsidRDefault="00F104E5" w:rsidP="00F104E5">
      <w:pPr>
        <w:suppressAutoHyphens w:val="0"/>
        <w:spacing w:line="240" w:lineRule="auto"/>
        <w:ind w:leftChars="0" w:left="0" w:firstLineChars="0" w:firstLine="0"/>
        <w:jc w:val="both"/>
        <w:textDirection w:val="lrTb"/>
        <w:textAlignment w:val="auto"/>
        <w:outlineLvl w:val="9"/>
        <w:rPr>
          <w:rFonts w:ascii="Times New Roman" w:hAnsi="Times New Roman" w:cs="Times New Roman"/>
          <w:b/>
          <w:position w:val="0"/>
          <w:sz w:val="24"/>
          <w:szCs w:val="24"/>
          <w:lang w:eastAsia="uk-UA"/>
        </w:rPr>
      </w:pPr>
    </w:p>
    <w:p w:rsidR="0037165B" w:rsidRPr="0037165B" w:rsidRDefault="0037165B" w:rsidP="0037165B">
      <w:pPr>
        <w:suppressAutoHyphens w:val="0"/>
        <w:spacing w:line="240" w:lineRule="auto"/>
        <w:ind w:leftChars="0" w:left="0" w:firstLineChars="0" w:firstLine="709"/>
        <w:jc w:val="both"/>
        <w:textDirection w:val="lrTb"/>
        <w:textAlignment w:val="auto"/>
        <w:outlineLvl w:val="9"/>
        <w:rPr>
          <w:rFonts w:ascii="Times New Roman" w:hAnsi="Times New Roman" w:cs="Times New Roman"/>
          <w:b/>
          <w:color w:val="auto"/>
          <w:position w:val="0"/>
          <w:sz w:val="24"/>
          <w:szCs w:val="24"/>
          <w:lang w:val="uk"/>
        </w:rPr>
      </w:pPr>
      <w:r w:rsidRPr="0037165B">
        <w:rPr>
          <w:rFonts w:ascii="Times New Roman" w:hAnsi="Times New Roman" w:cs="Times New Roman"/>
          <w:b/>
          <w:color w:val="auto"/>
          <w:position w:val="0"/>
          <w:sz w:val="24"/>
          <w:szCs w:val="24"/>
          <w:lang w:val="uk"/>
        </w:rPr>
        <w:t>Резюме</w:t>
      </w:r>
    </w:p>
    <w:p w:rsidR="0037165B" w:rsidRPr="0037165B" w:rsidRDefault="0037165B" w:rsidP="0037165B">
      <w:pPr>
        <w:suppressAutoHyphens w:val="0"/>
        <w:spacing w:line="240" w:lineRule="auto"/>
        <w:ind w:leftChars="0" w:left="0" w:firstLineChars="0" w:firstLine="709"/>
        <w:jc w:val="both"/>
        <w:textDirection w:val="lrTb"/>
        <w:textAlignment w:val="auto"/>
        <w:outlineLvl w:val="9"/>
        <w:rPr>
          <w:rFonts w:ascii="Times New Roman" w:hAnsi="Times New Roman" w:cs="Times New Roman"/>
          <w:color w:val="auto"/>
          <w:position w:val="0"/>
          <w:sz w:val="24"/>
          <w:szCs w:val="24"/>
          <w:lang w:val="uk"/>
        </w:rPr>
      </w:pPr>
      <w:bookmarkStart w:id="1" w:name="_mub89atxmkq6" w:colFirst="0" w:colLast="0"/>
      <w:bookmarkEnd w:id="1"/>
      <w:r w:rsidRPr="0037165B">
        <w:rPr>
          <w:rFonts w:ascii="Times New Roman" w:hAnsi="Times New Roman" w:cs="Times New Roman"/>
          <w:color w:val="auto"/>
          <w:position w:val="0"/>
          <w:sz w:val="24"/>
          <w:szCs w:val="24"/>
          <w:lang w:val="uk"/>
        </w:rPr>
        <w:t xml:space="preserve">В законопроєкті пропонується створити Державний реєстр осіб, постраждалих внаслідок збройної агресії Російської Федерації проти України (далі - Реєстр постраждалих осіб) та врегулювати питання його функціонування з метою майбутнього відшкодування шкоди, завданої їх життю та </w:t>
      </w:r>
      <w:proofErr w:type="spellStart"/>
      <w:r w:rsidRPr="0037165B">
        <w:rPr>
          <w:rFonts w:ascii="Times New Roman" w:hAnsi="Times New Roman" w:cs="Times New Roman"/>
          <w:color w:val="auto"/>
          <w:position w:val="0"/>
          <w:sz w:val="24"/>
          <w:szCs w:val="24"/>
          <w:lang w:val="uk"/>
        </w:rPr>
        <w:t>здоровʼю</w:t>
      </w:r>
      <w:proofErr w:type="spellEnd"/>
      <w:r w:rsidRPr="0037165B">
        <w:rPr>
          <w:rFonts w:ascii="Times New Roman" w:hAnsi="Times New Roman" w:cs="Times New Roman"/>
          <w:color w:val="auto"/>
          <w:position w:val="0"/>
          <w:sz w:val="24"/>
          <w:szCs w:val="24"/>
          <w:lang w:val="uk"/>
        </w:rPr>
        <w:t xml:space="preserve"> внаслідок російської агресії.</w:t>
      </w:r>
    </w:p>
    <w:p w:rsidR="0037165B" w:rsidRPr="0037165B" w:rsidRDefault="0037165B" w:rsidP="0037165B">
      <w:pPr>
        <w:suppressAutoHyphens w:val="0"/>
        <w:spacing w:line="240" w:lineRule="auto"/>
        <w:ind w:leftChars="0" w:left="0" w:firstLineChars="0" w:firstLine="709"/>
        <w:jc w:val="both"/>
        <w:textDirection w:val="lrTb"/>
        <w:textAlignment w:val="auto"/>
        <w:outlineLvl w:val="9"/>
        <w:rPr>
          <w:rFonts w:ascii="Times New Roman" w:hAnsi="Times New Roman" w:cs="Times New Roman"/>
          <w:color w:val="auto"/>
          <w:position w:val="0"/>
          <w:sz w:val="24"/>
          <w:szCs w:val="24"/>
          <w:lang w:val="uk"/>
        </w:rPr>
      </w:pPr>
      <w:bookmarkStart w:id="2" w:name="_rmzwcmm5j732" w:colFirst="0" w:colLast="0"/>
      <w:bookmarkEnd w:id="2"/>
    </w:p>
    <w:p w:rsidR="0037165B" w:rsidRPr="0037165B" w:rsidRDefault="0037165B" w:rsidP="0037165B">
      <w:pPr>
        <w:suppressAutoHyphens w:val="0"/>
        <w:spacing w:line="240" w:lineRule="auto"/>
        <w:ind w:leftChars="0" w:left="0" w:firstLineChars="0" w:firstLine="709"/>
        <w:jc w:val="both"/>
        <w:textDirection w:val="lrTb"/>
        <w:textAlignment w:val="auto"/>
        <w:outlineLvl w:val="9"/>
        <w:rPr>
          <w:rFonts w:ascii="Times New Roman" w:hAnsi="Times New Roman" w:cs="Times New Roman"/>
          <w:b/>
          <w:i/>
          <w:color w:val="auto"/>
          <w:position w:val="0"/>
          <w:sz w:val="24"/>
          <w:szCs w:val="24"/>
          <w:lang w:val="uk"/>
        </w:rPr>
      </w:pPr>
      <w:bookmarkStart w:id="3" w:name="_xf51d15s6vej" w:colFirst="0" w:colLast="0"/>
      <w:bookmarkEnd w:id="3"/>
      <w:r w:rsidRPr="0037165B">
        <w:rPr>
          <w:rFonts w:ascii="Times New Roman" w:hAnsi="Times New Roman" w:cs="Times New Roman"/>
          <w:b/>
          <w:i/>
          <w:color w:val="auto"/>
          <w:position w:val="0"/>
          <w:sz w:val="24"/>
          <w:szCs w:val="24"/>
          <w:lang w:val="uk"/>
        </w:rPr>
        <w:t xml:space="preserve">Інститут законодавчих ідей цілком підтримує ідею необхідності фіксації шкоди, завданої російською агресією. Водночас, законопроєкт містить низку дискусійних питань, позитивне вирішення яких сприятиме ефективності запропонованих норм та реалізації мети, для якої проєкт було розроблено.  </w:t>
      </w:r>
    </w:p>
    <w:p w:rsidR="0037165B" w:rsidRPr="0037165B" w:rsidRDefault="0037165B" w:rsidP="0037165B">
      <w:pPr>
        <w:suppressAutoHyphens w:val="0"/>
        <w:spacing w:line="240" w:lineRule="auto"/>
        <w:ind w:leftChars="0" w:left="0" w:firstLineChars="0" w:firstLine="709"/>
        <w:jc w:val="both"/>
        <w:textDirection w:val="lrTb"/>
        <w:textAlignment w:val="auto"/>
        <w:outlineLvl w:val="9"/>
        <w:rPr>
          <w:rFonts w:ascii="Times New Roman" w:hAnsi="Times New Roman" w:cs="Times New Roman"/>
          <w:b/>
          <w:i/>
          <w:color w:val="auto"/>
          <w:position w:val="0"/>
          <w:sz w:val="24"/>
          <w:szCs w:val="24"/>
          <w:lang w:val="uk"/>
        </w:rPr>
      </w:pPr>
      <w:bookmarkStart w:id="4" w:name="_nqa1hcq0iavo" w:colFirst="0" w:colLast="0"/>
      <w:bookmarkEnd w:id="4"/>
    </w:p>
    <w:p w:rsidR="0037165B" w:rsidRPr="0037165B" w:rsidRDefault="0037165B" w:rsidP="0037165B">
      <w:pPr>
        <w:suppressAutoHyphens w:val="0"/>
        <w:spacing w:line="240" w:lineRule="auto"/>
        <w:ind w:leftChars="0" w:left="0" w:firstLineChars="0" w:firstLine="709"/>
        <w:jc w:val="both"/>
        <w:textDirection w:val="lrTb"/>
        <w:textAlignment w:val="auto"/>
        <w:outlineLvl w:val="9"/>
        <w:rPr>
          <w:rFonts w:ascii="Times New Roman" w:hAnsi="Times New Roman" w:cs="Times New Roman"/>
          <w:b/>
          <w:color w:val="auto"/>
          <w:position w:val="0"/>
          <w:sz w:val="24"/>
          <w:szCs w:val="24"/>
          <w:lang w:val="uk"/>
        </w:rPr>
      </w:pPr>
      <w:bookmarkStart w:id="5" w:name="_r06q824tjt06" w:colFirst="0" w:colLast="0"/>
      <w:bookmarkEnd w:id="5"/>
      <w:r w:rsidRPr="0037165B">
        <w:rPr>
          <w:rFonts w:ascii="Times New Roman" w:hAnsi="Times New Roman" w:cs="Times New Roman"/>
          <w:b/>
          <w:color w:val="auto"/>
          <w:position w:val="0"/>
          <w:sz w:val="24"/>
          <w:szCs w:val="24"/>
          <w:lang w:val="uk"/>
        </w:rPr>
        <w:t xml:space="preserve">1. Положення законопроєкту повинні мати системний </w:t>
      </w:r>
      <w:proofErr w:type="spellStart"/>
      <w:r w:rsidRPr="0037165B">
        <w:rPr>
          <w:rFonts w:ascii="Times New Roman" w:hAnsi="Times New Roman" w:cs="Times New Roman"/>
          <w:b/>
          <w:color w:val="auto"/>
          <w:position w:val="0"/>
          <w:sz w:val="24"/>
          <w:szCs w:val="24"/>
          <w:lang w:val="uk"/>
        </w:rPr>
        <w:t>звʼязок</w:t>
      </w:r>
      <w:proofErr w:type="spellEnd"/>
      <w:r w:rsidRPr="0037165B">
        <w:rPr>
          <w:rFonts w:ascii="Times New Roman" w:hAnsi="Times New Roman" w:cs="Times New Roman"/>
          <w:b/>
          <w:color w:val="auto"/>
          <w:position w:val="0"/>
          <w:sz w:val="24"/>
          <w:szCs w:val="24"/>
          <w:lang w:val="uk"/>
        </w:rPr>
        <w:t xml:space="preserve"> та відповідати вже прийнятому міжнародному регулюванню у сфері компенсацій постраждалим від агресії.</w:t>
      </w:r>
    </w:p>
    <w:p w:rsidR="0037165B" w:rsidRPr="0037165B" w:rsidRDefault="0037165B" w:rsidP="0037165B">
      <w:pPr>
        <w:suppressAutoHyphens w:val="0"/>
        <w:spacing w:line="240" w:lineRule="auto"/>
        <w:ind w:leftChars="0" w:left="0" w:firstLineChars="0" w:firstLine="709"/>
        <w:jc w:val="both"/>
        <w:textDirection w:val="lrTb"/>
        <w:textAlignment w:val="auto"/>
        <w:outlineLvl w:val="9"/>
        <w:rPr>
          <w:rFonts w:ascii="Times New Roman" w:hAnsi="Times New Roman" w:cs="Times New Roman"/>
          <w:i/>
          <w:color w:val="auto"/>
          <w:position w:val="0"/>
          <w:sz w:val="24"/>
          <w:szCs w:val="24"/>
          <w:lang w:val="uk"/>
        </w:rPr>
      </w:pPr>
      <w:bookmarkStart w:id="6" w:name="_sqdms32f51xw" w:colFirst="0" w:colLast="0"/>
      <w:bookmarkEnd w:id="6"/>
      <w:r w:rsidRPr="0037165B">
        <w:rPr>
          <w:rFonts w:ascii="Times New Roman" w:hAnsi="Times New Roman" w:cs="Times New Roman"/>
          <w:color w:val="auto"/>
          <w:position w:val="0"/>
          <w:sz w:val="24"/>
          <w:szCs w:val="24"/>
          <w:lang w:val="uk"/>
        </w:rPr>
        <w:t xml:space="preserve">Відповідно до ч. 1 ст. 3 проєкту </w:t>
      </w:r>
      <w:r w:rsidRPr="0037165B">
        <w:rPr>
          <w:rFonts w:ascii="Times New Roman" w:hAnsi="Times New Roman" w:cs="Times New Roman"/>
          <w:i/>
          <w:color w:val="auto"/>
          <w:position w:val="0"/>
          <w:sz w:val="24"/>
          <w:szCs w:val="24"/>
          <w:lang w:val="uk"/>
        </w:rPr>
        <w:t xml:space="preserve">“Реєстр постраждалих осіб створюється з метою фіксації інформації про шкоду життю та </w:t>
      </w:r>
      <w:proofErr w:type="spellStart"/>
      <w:r w:rsidRPr="0037165B">
        <w:rPr>
          <w:rFonts w:ascii="Times New Roman" w:hAnsi="Times New Roman" w:cs="Times New Roman"/>
          <w:i/>
          <w:color w:val="auto"/>
          <w:position w:val="0"/>
          <w:sz w:val="24"/>
          <w:szCs w:val="24"/>
          <w:lang w:val="uk"/>
        </w:rPr>
        <w:t>здоровʼю</w:t>
      </w:r>
      <w:proofErr w:type="spellEnd"/>
      <w:r w:rsidRPr="0037165B">
        <w:rPr>
          <w:rFonts w:ascii="Times New Roman" w:hAnsi="Times New Roman" w:cs="Times New Roman"/>
          <w:i/>
          <w:color w:val="auto"/>
          <w:position w:val="0"/>
          <w:sz w:val="24"/>
          <w:szCs w:val="24"/>
          <w:lang w:val="uk"/>
        </w:rPr>
        <w:t xml:space="preserve">, сприяння наданню відшкодування і забезпечення ефективних засобів правового захисту постраждалим, включно з невідкладними проміжними репараціями, та забезпечення можливості подальшого її відшкодування за рахунок репарацій чи інших стягнень з Російської Федерації в тому числі </w:t>
      </w:r>
      <w:r w:rsidRPr="0037165B">
        <w:rPr>
          <w:rFonts w:ascii="Times New Roman" w:hAnsi="Times New Roman" w:cs="Times New Roman"/>
          <w:b/>
          <w:i/>
          <w:color w:val="auto"/>
          <w:position w:val="0"/>
          <w:sz w:val="24"/>
          <w:szCs w:val="24"/>
          <w:lang w:val="uk"/>
        </w:rPr>
        <w:lastRenderedPageBreak/>
        <w:t>в рамках реалізації концепції спеціального компенсаційного механізму відшкодування збитків, завданих збройною агресією Російської Федерації проти України</w:t>
      </w:r>
      <w:r w:rsidRPr="0037165B">
        <w:rPr>
          <w:rFonts w:ascii="Times New Roman" w:hAnsi="Times New Roman" w:cs="Times New Roman"/>
          <w:i/>
          <w:color w:val="auto"/>
          <w:position w:val="0"/>
          <w:sz w:val="24"/>
          <w:szCs w:val="24"/>
          <w:lang w:val="uk"/>
        </w:rPr>
        <w:t>”.</w:t>
      </w:r>
    </w:p>
    <w:p w:rsidR="0037165B" w:rsidRPr="0037165B" w:rsidRDefault="0037165B" w:rsidP="0037165B">
      <w:pPr>
        <w:suppressAutoHyphens w:val="0"/>
        <w:spacing w:line="240" w:lineRule="auto"/>
        <w:ind w:leftChars="0" w:left="0" w:firstLineChars="0" w:firstLine="708"/>
        <w:jc w:val="both"/>
        <w:textDirection w:val="lrTb"/>
        <w:textAlignment w:val="auto"/>
        <w:outlineLvl w:val="9"/>
        <w:rPr>
          <w:rFonts w:ascii="Times New Roman" w:hAnsi="Times New Roman" w:cs="Times New Roman"/>
          <w:color w:val="auto"/>
          <w:position w:val="0"/>
          <w:sz w:val="24"/>
          <w:szCs w:val="24"/>
          <w:lang w:val="uk"/>
        </w:rPr>
      </w:pPr>
      <w:bookmarkStart w:id="7" w:name="_qdiefts5ifwp" w:colFirst="0" w:colLast="0"/>
      <w:bookmarkEnd w:id="7"/>
      <w:r w:rsidRPr="0037165B">
        <w:rPr>
          <w:rFonts w:ascii="Times New Roman" w:hAnsi="Times New Roman" w:cs="Times New Roman"/>
          <w:color w:val="auto"/>
          <w:position w:val="0"/>
          <w:sz w:val="24"/>
          <w:szCs w:val="24"/>
          <w:lang w:val="uk"/>
        </w:rPr>
        <w:t>Слід зазначити, що спеціальний компенсаційний механізм є унікальним “</w:t>
      </w:r>
      <w:proofErr w:type="spellStart"/>
      <w:r w:rsidRPr="0037165B">
        <w:rPr>
          <w:rFonts w:ascii="Times New Roman" w:hAnsi="Times New Roman" w:cs="Times New Roman"/>
          <w:color w:val="auto"/>
          <w:position w:val="0"/>
          <w:sz w:val="24"/>
          <w:szCs w:val="24"/>
          <w:lang w:val="uk"/>
        </w:rPr>
        <w:t>ad</w:t>
      </w:r>
      <w:proofErr w:type="spellEnd"/>
      <w:r w:rsidRPr="0037165B">
        <w:rPr>
          <w:rFonts w:ascii="Times New Roman" w:hAnsi="Times New Roman" w:cs="Times New Roman"/>
          <w:color w:val="auto"/>
          <w:position w:val="0"/>
          <w:sz w:val="24"/>
          <w:szCs w:val="24"/>
          <w:lang w:val="uk"/>
        </w:rPr>
        <w:t xml:space="preserve"> </w:t>
      </w:r>
      <w:proofErr w:type="spellStart"/>
      <w:r w:rsidRPr="0037165B">
        <w:rPr>
          <w:rFonts w:ascii="Times New Roman" w:hAnsi="Times New Roman" w:cs="Times New Roman"/>
          <w:color w:val="auto"/>
          <w:position w:val="0"/>
          <w:sz w:val="24"/>
          <w:szCs w:val="24"/>
          <w:lang w:val="uk"/>
        </w:rPr>
        <w:t>hoc</w:t>
      </w:r>
      <w:proofErr w:type="spellEnd"/>
      <w:r w:rsidRPr="0037165B">
        <w:rPr>
          <w:rFonts w:ascii="Times New Roman" w:hAnsi="Times New Roman" w:cs="Times New Roman"/>
          <w:color w:val="auto"/>
          <w:position w:val="0"/>
          <w:sz w:val="24"/>
          <w:szCs w:val="24"/>
          <w:lang w:val="uk"/>
        </w:rPr>
        <w:t>” інструментом, який покликаний за допомогою міжнародного права сприяти відшкодуванню шкоди, завданої внаслідок російської агресії саме за рахунок заморожених у світі активів агресора, як головного джерела майбутніх виплат постраждалим. Над вказаним механізмом активно працюють як українські урядовці, зокрема представники Міністерства юстиції України, так і міжнародні партнери. Наразі, на базі Ради Європи уже створено перший компонент такого механізму - Міжнародний реєстр збитків</w:t>
      </w:r>
      <w:r w:rsidRPr="0037165B">
        <w:rPr>
          <w:rFonts w:ascii="Times New Roman" w:hAnsi="Times New Roman" w:cs="Times New Roman"/>
          <w:color w:val="auto"/>
          <w:position w:val="0"/>
          <w:sz w:val="24"/>
          <w:szCs w:val="24"/>
          <w:vertAlign w:val="superscript"/>
          <w:lang w:val="uk"/>
        </w:rPr>
        <w:footnoteReference w:id="1"/>
      </w:r>
      <w:r w:rsidRPr="0037165B">
        <w:rPr>
          <w:rFonts w:ascii="Times New Roman" w:hAnsi="Times New Roman" w:cs="Times New Roman"/>
          <w:color w:val="auto"/>
          <w:position w:val="0"/>
          <w:sz w:val="24"/>
          <w:szCs w:val="24"/>
          <w:lang w:val="uk"/>
        </w:rPr>
        <w:t>, у якому будуть акумульовані вимоги, подальше задоволення яких відбуватиметься через Компенсаційну комісію та Компенсаційний фонд.</w:t>
      </w:r>
    </w:p>
    <w:p w:rsidR="0037165B" w:rsidRPr="0037165B" w:rsidRDefault="0037165B" w:rsidP="0037165B">
      <w:pPr>
        <w:suppressAutoHyphens w:val="0"/>
        <w:spacing w:line="240" w:lineRule="auto"/>
        <w:ind w:leftChars="0" w:left="0" w:firstLineChars="0" w:firstLine="708"/>
        <w:jc w:val="both"/>
        <w:textDirection w:val="lrTb"/>
        <w:textAlignment w:val="auto"/>
        <w:outlineLvl w:val="9"/>
        <w:rPr>
          <w:rFonts w:ascii="Times New Roman" w:hAnsi="Times New Roman" w:cs="Times New Roman"/>
          <w:color w:val="auto"/>
          <w:position w:val="0"/>
          <w:sz w:val="24"/>
          <w:szCs w:val="24"/>
          <w:lang w:val="uk"/>
        </w:rPr>
      </w:pPr>
      <w:bookmarkStart w:id="8" w:name="_rjsxw8h2hhdf" w:colFirst="0" w:colLast="0"/>
      <w:bookmarkEnd w:id="8"/>
      <w:r w:rsidRPr="0037165B">
        <w:rPr>
          <w:rFonts w:ascii="Times New Roman" w:hAnsi="Times New Roman" w:cs="Times New Roman"/>
          <w:color w:val="auto"/>
          <w:position w:val="0"/>
          <w:sz w:val="24"/>
          <w:szCs w:val="24"/>
          <w:lang w:val="uk"/>
        </w:rPr>
        <w:t xml:space="preserve">Таким чином, </w:t>
      </w:r>
      <w:r w:rsidRPr="0037165B">
        <w:rPr>
          <w:rFonts w:ascii="Times New Roman" w:hAnsi="Times New Roman" w:cs="Times New Roman"/>
          <w:b/>
          <w:i/>
          <w:color w:val="auto"/>
          <w:position w:val="0"/>
          <w:sz w:val="24"/>
          <w:szCs w:val="24"/>
          <w:lang w:val="uk"/>
        </w:rPr>
        <w:t>Реєстр, який пропонується створити згідно з законопроєктом, повинен максимально узгоджуватися з основними підходами до функціонування Міжнародного реєстру</w:t>
      </w:r>
      <w:r w:rsidRPr="0037165B">
        <w:rPr>
          <w:rFonts w:ascii="Times New Roman" w:hAnsi="Times New Roman" w:cs="Times New Roman"/>
          <w:color w:val="auto"/>
          <w:position w:val="0"/>
          <w:sz w:val="24"/>
          <w:szCs w:val="24"/>
          <w:lang w:val="uk"/>
        </w:rPr>
        <w:t xml:space="preserve"> </w:t>
      </w:r>
      <w:r w:rsidRPr="0037165B">
        <w:rPr>
          <w:rFonts w:ascii="Times New Roman" w:hAnsi="Times New Roman" w:cs="Times New Roman"/>
          <w:b/>
          <w:i/>
          <w:color w:val="auto"/>
          <w:position w:val="0"/>
          <w:sz w:val="24"/>
          <w:szCs w:val="24"/>
          <w:lang w:val="uk"/>
        </w:rPr>
        <w:t>збитків</w:t>
      </w:r>
      <w:r w:rsidRPr="0037165B">
        <w:rPr>
          <w:rFonts w:ascii="Times New Roman" w:hAnsi="Times New Roman" w:cs="Times New Roman"/>
          <w:color w:val="auto"/>
          <w:position w:val="0"/>
          <w:sz w:val="24"/>
          <w:szCs w:val="24"/>
          <w:lang w:val="uk"/>
        </w:rPr>
        <w:t>, який уже створений та розпочне роботу найближчим часом.</w:t>
      </w:r>
    </w:p>
    <w:p w:rsidR="0037165B" w:rsidRPr="0037165B" w:rsidRDefault="0037165B" w:rsidP="0037165B">
      <w:pPr>
        <w:suppressAutoHyphens w:val="0"/>
        <w:spacing w:line="240" w:lineRule="auto"/>
        <w:ind w:leftChars="0" w:left="0" w:firstLineChars="0" w:firstLine="708"/>
        <w:jc w:val="both"/>
        <w:textDirection w:val="lrTb"/>
        <w:textAlignment w:val="auto"/>
        <w:outlineLvl w:val="9"/>
        <w:rPr>
          <w:rFonts w:ascii="Times New Roman" w:hAnsi="Times New Roman" w:cs="Times New Roman"/>
          <w:color w:val="auto"/>
          <w:position w:val="0"/>
          <w:sz w:val="24"/>
          <w:szCs w:val="24"/>
          <w:lang w:val="uk"/>
        </w:rPr>
      </w:pPr>
      <w:bookmarkStart w:id="9" w:name="_m8fr5ptkgagm" w:colFirst="0" w:colLast="0"/>
      <w:bookmarkEnd w:id="9"/>
      <w:r w:rsidRPr="0037165B">
        <w:rPr>
          <w:rFonts w:ascii="Times New Roman" w:hAnsi="Times New Roman" w:cs="Times New Roman"/>
          <w:color w:val="auto"/>
          <w:position w:val="0"/>
          <w:sz w:val="24"/>
          <w:szCs w:val="24"/>
          <w:lang w:val="uk"/>
        </w:rPr>
        <w:t xml:space="preserve">Водночас існує ризик, що деякі аспекти регулювання Реєстру постраждалих осіб не повною мірою будуть узгоджені з правилами роботи Міжнародного реєстру збитків. Великою мірою успішність функціонування Реєстру збитків та подальших конкретних компенсацій </w:t>
      </w:r>
      <w:proofErr w:type="spellStart"/>
      <w:r w:rsidRPr="0037165B">
        <w:rPr>
          <w:rFonts w:ascii="Times New Roman" w:hAnsi="Times New Roman" w:cs="Times New Roman"/>
          <w:color w:val="auto"/>
          <w:position w:val="0"/>
          <w:sz w:val="24"/>
          <w:szCs w:val="24"/>
          <w:lang w:val="uk"/>
        </w:rPr>
        <w:t>залежатиме</w:t>
      </w:r>
      <w:proofErr w:type="spellEnd"/>
      <w:r w:rsidRPr="0037165B">
        <w:rPr>
          <w:rFonts w:ascii="Times New Roman" w:hAnsi="Times New Roman" w:cs="Times New Roman"/>
          <w:color w:val="auto"/>
          <w:position w:val="0"/>
          <w:sz w:val="24"/>
          <w:szCs w:val="24"/>
          <w:lang w:val="uk"/>
        </w:rPr>
        <w:t xml:space="preserve"> від ефективності роботи Реєстру постраждалих осіб та їх взаємодії. Тому необхідно закріпити в законодавстві положення, які б уніфікували підходи фіксування шкоди, вимоги до прийнятності інформації, стандарту доведення тощо, а також максимально узгодити положення законопроєкту з міжнародними документами у цій сфері (зокрема, Статутом Реєстру збитків, завданих агресією Російської Федерації проти України)</w:t>
      </w:r>
      <w:r w:rsidRPr="0037165B">
        <w:rPr>
          <w:rFonts w:ascii="Times New Roman" w:hAnsi="Times New Roman" w:cs="Times New Roman"/>
          <w:color w:val="auto"/>
          <w:position w:val="0"/>
          <w:sz w:val="24"/>
          <w:szCs w:val="24"/>
          <w:vertAlign w:val="superscript"/>
          <w:lang w:val="uk"/>
        </w:rPr>
        <w:footnoteReference w:id="2"/>
      </w:r>
      <w:r w:rsidRPr="0037165B">
        <w:rPr>
          <w:rFonts w:ascii="Times New Roman" w:hAnsi="Times New Roman" w:cs="Times New Roman"/>
          <w:color w:val="auto"/>
          <w:position w:val="0"/>
          <w:sz w:val="24"/>
          <w:szCs w:val="24"/>
          <w:lang w:val="uk"/>
        </w:rPr>
        <w:t>.</w:t>
      </w:r>
    </w:p>
    <w:p w:rsidR="0037165B" w:rsidRPr="0037165B" w:rsidRDefault="0037165B" w:rsidP="0037165B">
      <w:pPr>
        <w:suppressAutoHyphens w:val="0"/>
        <w:spacing w:line="240" w:lineRule="auto"/>
        <w:ind w:leftChars="0" w:left="0" w:firstLineChars="0" w:firstLine="708"/>
        <w:jc w:val="both"/>
        <w:textDirection w:val="lrTb"/>
        <w:textAlignment w:val="auto"/>
        <w:outlineLvl w:val="9"/>
        <w:rPr>
          <w:rFonts w:ascii="Times New Roman" w:hAnsi="Times New Roman" w:cs="Times New Roman"/>
          <w:b/>
          <w:color w:val="auto"/>
          <w:position w:val="0"/>
          <w:sz w:val="24"/>
          <w:szCs w:val="24"/>
          <w:lang w:val="uk"/>
        </w:rPr>
      </w:pPr>
      <w:bookmarkStart w:id="10" w:name="_32t4rm49f9e4" w:colFirst="0" w:colLast="0"/>
      <w:bookmarkEnd w:id="10"/>
      <w:r w:rsidRPr="0037165B">
        <w:rPr>
          <w:rFonts w:ascii="Times New Roman" w:hAnsi="Times New Roman" w:cs="Times New Roman"/>
          <w:b/>
          <w:color w:val="auto"/>
          <w:position w:val="0"/>
          <w:sz w:val="24"/>
          <w:szCs w:val="24"/>
          <w:lang w:val="uk"/>
        </w:rPr>
        <w:t xml:space="preserve"> </w:t>
      </w:r>
    </w:p>
    <w:p w:rsidR="0037165B" w:rsidRPr="0037165B" w:rsidRDefault="0037165B" w:rsidP="0037165B">
      <w:pPr>
        <w:suppressAutoHyphens w:val="0"/>
        <w:spacing w:line="240" w:lineRule="auto"/>
        <w:ind w:leftChars="0" w:left="0" w:firstLineChars="0" w:firstLine="708"/>
        <w:jc w:val="both"/>
        <w:textDirection w:val="lrTb"/>
        <w:textAlignment w:val="auto"/>
        <w:outlineLvl w:val="9"/>
        <w:rPr>
          <w:rFonts w:ascii="Times New Roman" w:hAnsi="Times New Roman" w:cs="Times New Roman"/>
          <w:color w:val="auto"/>
          <w:position w:val="0"/>
          <w:sz w:val="24"/>
          <w:szCs w:val="24"/>
          <w:lang w:val="uk"/>
        </w:rPr>
      </w:pPr>
      <w:bookmarkStart w:id="11" w:name="_mqo3knemlasl" w:colFirst="0" w:colLast="0"/>
      <w:bookmarkEnd w:id="11"/>
      <w:r w:rsidRPr="0037165B">
        <w:rPr>
          <w:rFonts w:ascii="Times New Roman" w:hAnsi="Times New Roman" w:cs="Times New Roman"/>
          <w:b/>
          <w:color w:val="auto"/>
          <w:position w:val="0"/>
          <w:sz w:val="24"/>
          <w:szCs w:val="24"/>
          <w:lang w:val="uk"/>
        </w:rPr>
        <w:t>2. Необхідно забезпечити якнайбільшу доступність Реєстру, незалежно від органу, відповідального за ведення Реєстру постраждалих осіб.</w:t>
      </w:r>
    </w:p>
    <w:p w:rsidR="0037165B" w:rsidRPr="0037165B" w:rsidRDefault="0037165B" w:rsidP="0037165B">
      <w:pPr>
        <w:suppressAutoHyphens w:val="0"/>
        <w:spacing w:line="240" w:lineRule="auto"/>
        <w:ind w:leftChars="0" w:left="0" w:firstLineChars="0" w:firstLine="708"/>
        <w:jc w:val="both"/>
        <w:textDirection w:val="lrTb"/>
        <w:textAlignment w:val="auto"/>
        <w:outlineLvl w:val="9"/>
        <w:rPr>
          <w:rFonts w:ascii="Times New Roman" w:hAnsi="Times New Roman" w:cs="Times New Roman"/>
          <w:i/>
          <w:color w:val="auto"/>
          <w:position w:val="0"/>
          <w:sz w:val="24"/>
          <w:szCs w:val="24"/>
          <w:lang w:val="uk"/>
        </w:rPr>
      </w:pPr>
      <w:bookmarkStart w:id="12" w:name="_yrsnyw1smcbm" w:colFirst="0" w:colLast="0"/>
      <w:bookmarkEnd w:id="12"/>
      <w:r w:rsidRPr="0037165B">
        <w:rPr>
          <w:rFonts w:ascii="Times New Roman" w:hAnsi="Times New Roman" w:cs="Times New Roman"/>
          <w:color w:val="auto"/>
          <w:position w:val="0"/>
          <w:sz w:val="24"/>
          <w:szCs w:val="24"/>
          <w:lang w:val="uk"/>
        </w:rPr>
        <w:t>Згідно ч. 2 ст. 3 законопроєкту “</w:t>
      </w:r>
      <w:r w:rsidRPr="0037165B">
        <w:rPr>
          <w:rFonts w:ascii="Times New Roman" w:hAnsi="Times New Roman" w:cs="Times New Roman"/>
          <w:i/>
          <w:color w:val="auto"/>
          <w:position w:val="0"/>
          <w:sz w:val="24"/>
          <w:szCs w:val="24"/>
          <w:lang w:val="uk"/>
        </w:rPr>
        <w:t>Держателем Реєстру постраждалих осіб є центральний орган виконавчої влади, що забезпечує формування державної політики у сфері соціального захисту населення”.</w:t>
      </w:r>
    </w:p>
    <w:p w:rsidR="0037165B" w:rsidRPr="0037165B" w:rsidRDefault="0037165B" w:rsidP="0037165B">
      <w:pPr>
        <w:suppressAutoHyphens w:val="0"/>
        <w:spacing w:line="240" w:lineRule="auto"/>
        <w:ind w:leftChars="0" w:left="0" w:firstLineChars="0" w:firstLine="708"/>
        <w:jc w:val="both"/>
        <w:textDirection w:val="lrTb"/>
        <w:textAlignment w:val="auto"/>
        <w:outlineLvl w:val="9"/>
        <w:rPr>
          <w:rFonts w:ascii="Times New Roman" w:hAnsi="Times New Roman" w:cs="Times New Roman"/>
          <w:i/>
          <w:color w:val="auto"/>
          <w:position w:val="0"/>
          <w:sz w:val="24"/>
          <w:szCs w:val="24"/>
          <w:lang w:val="uk"/>
        </w:rPr>
      </w:pPr>
      <w:bookmarkStart w:id="13" w:name="_3m4dckzi3a46" w:colFirst="0" w:colLast="0"/>
      <w:bookmarkEnd w:id="13"/>
      <w:r w:rsidRPr="0037165B">
        <w:rPr>
          <w:rFonts w:ascii="Times New Roman" w:hAnsi="Times New Roman" w:cs="Times New Roman"/>
          <w:color w:val="auto"/>
          <w:position w:val="0"/>
          <w:sz w:val="24"/>
          <w:szCs w:val="24"/>
          <w:lang w:val="uk"/>
        </w:rPr>
        <w:t>Відповідно до ч. 3 цієї ж статті проєкту “</w:t>
      </w:r>
      <w:r w:rsidRPr="0037165B">
        <w:rPr>
          <w:rFonts w:ascii="Times New Roman" w:hAnsi="Times New Roman" w:cs="Times New Roman"/>
          <w:i/>
          <w:color w:val="auto"/>
          <w:position w:val="0"/>
          <w:sz w:val="24"/>
          <w:szCs w:val="24"/>
          <w:lang w:val="uk"/>
        </w:rPr>
        <w:t xml:space="preserve">Адміністратором Реєстру постраждалих осіб є центральний орган виконавчої влади, що реалізує державну політику з питань пенсійного забезпечення та ведення обліку осіб, які підлягають </w:t>
      </w:r>
      <w:proofErr w:type="spellStart"/>
      <w:r w:rsidRPr="0037165B">
        <w:rPr>
          <w:rFonts w:ascii="Times New Roman" w:hAnsi="Times New Roman" w:cs="Times New Roman"/>
          <w:i/>
          <w:color w:val="auto"/>
          <w:position w:val="0"/>
          <w:sz w:val="24"/>
          <w:szCs w:val="24"/>
          <w:lang w:val="uk"/>
        </w:rPr>
        <w:t>загальнообовʼязковому</w:t>
      </w:r>
      <w:proofErr w:type="spellEnd"/>
      <w:r w:rsidRPr="0037165B">
        <w:rPr>
          <w:rFonts w:ascii="Times New Roman" w:hAnsi="Times New Roman" w:cs="Times New Roman"/>
          <w:i/>
          <w:color w:val="auto"/>
          <w:position w:val="0"/>
          <w:sz w:val="24"/>
          <w:szCs w:val="24"/>
          <w:lang w:val="uk"/>
        </w:rPr>
        <w:t xml:space="preserve"> державному соціальному страхуванню (Пенсійний фонд України)”.</w:t>
      </w:r>
    </w:p>
    <w:p w:rsidR="0037165B" w:rsidRPr="0037165B" w:rsidRDefault="0037165B" w:rsidP="0037165B">
      <w:pPr>
        <w:suppressAutoHyphens w:val="0"/>
        <w:spacing w:line="240" w:lineRule="auto"/>
        <w:ind w:leftChars="0" w:left="0" w:firstLineChars="0" w:firstLine="708"/>
        <w:jc w:val="both"/>
        <w:textDirection w:val="lrTb"/>
        <w:textAlignment w:val="auto"/>
        <w:outlineLvl w:val="9"/>
        <w:rPr>
          <w:rFonts w:ascii="Times New Roman" w:hAnsi="Times New Roman" w:cs="Times New Roman"/>
          <w:color w:val="auto"/>
          <w:position w:val="0"/>
          <w:sz w:val="24"/>
          <w:szCs w:val="24"/>
          <w:lang w:val="uk"/>
        </w:rPr>
      </w:pPr>
      <w:bookmarkStart w:id="14" w:name="_mt3895bv3srg" w:colFirst="0" w:colLast="0"/>
      <w:bookmarkEnd w:id="14"/>
      <w:r w:rsidRPr="0037165B">
        <w:rPr>
          <w:rFonts w:ascii="Times New Roman" w:hAnsi="Times New Roman" w:cs="Times New Roman"/>
          <w:color w:val="auto"/>
          <w:position w:val="0"/>
          <w:sz w:val="24"/>
          <w:szCs w:val="24"/>
          <w:lang w:val="uk"/>
        </w:rPr>
        <w:t xml:space="preserve"> Вносити інформацію до Реєстру постраждалих осіб буде публічний реєстратор, який є посадовою особою Пенсійного фонду України. Створювачем реєстрової інформації теж буде Пенсійний фонд України.</w:t>
      </w:r>
    </w:p>
    <w:p w:rsidR="0037165B" w:rsidRPr="0037165B" w:rsidRDefault="0037165B" w:rsidP="0037165B">
      <w:pPr>
        <w:suppressAutoHyphens w:val="0"/>
        <w:spacing w:line="240" w:lineRule="auto"/>
        <w:ind w:leftChars="0" w:left="0" w:firstLineChars="0" w:firstLine="708"/>
        <w:jc w:val="both"/>
        <w:textDirection w:val="lrTb"/>
        <w:textAlignment w:val="auto"/>
        <w:outlineLvl w:val="9"/>
        <w:rPr>
          <w:rFonts w:ascii="Times New Roman" w:hAnsi="Times New Roman" w:cs="Times New Roman"/>
          <w:color w:val="auto"/>
          <w:position w:val="0"/>
          <w:sz w:val="24"/>
          <w:szCs w:val="24"/>
          <w:lang w:val="uk"/>
        </w:rPr>
      </w:pPr>
      <w:bookmarkStart w:id="15" w:name="_bxsurpqnrsqa" w:colFirst="0" w:colLast="0"/>
      <w:bookmarkEnd w:id="15"/>
      <w:r w:rsidRPr="0037165B">
        <w:rPr>
          <w:rFonts w:ascii="Times New Roman" w:hAnsi="Times New Roman" w:cs="Times New Roman"/>
          <w:color w:val="auto"/>
          <w:position w:val="0"/>
          <w:sz w:val="24"/>
          <w:szCs w:val="24"/>
          <w:lang w:val="uk"/>
        </w:rPr>
        <w:t xml:space="preserve">Відповідно до проєкту Реєстр постраждалих осіб створюється зокрема </w:t>
      </w:r>
      <w:r w:rsidRPr="0037165B">
        <w:rPr>
          <w:rFonts w:ascii="Times New Roman" w:hAnsi="Times New Roman" w:cs="Times New Roman"/>
          <w:i/>
          <w:color w:val="auto"/>
          <w:position w:val="0"/>
          <w:sz w:val="24"/>
          <w:szCs w:val="24"/>
          <w:lang w:val="uk"/>
        </w:rPr>
        <w:t>задля сприяння наданню відшкодування і забезпечення ефективних засобів правового захисту постраждалим, включно з невідкладними проміжними репараціями, та забезпечення можливості подальшого її відшкодування за рахунок репарацій чи інших стягнень з Російської Федерації.</w:t>
      </w:r>
    </w:p>
    <w:p w:rsidR="0037165B" w:rsidRPr="0037165B" w:rsidRDefault="0037165B" w:rsidP="0037165B">
      <w:pPr>
        <w:suppressAutoHyphens w:val="0"/>
        <w:spacing w:line="240" w:lineRule="auto"/>
        <w:ind w:leftChars="0" w:left="0" w:firstLineChars="0" w:firstLine="708"/>
        <w:jc w:val="both"/>
        <w:textDirection w:val="lrTb"/>
        <w:textAlignment w:val="auto"/>
        <w:outlineLvl w:val="9"/>
        <w:rPr>
          <w:rFonts w:ascii="Times New Roman" w:hAnsi="Times New Roman" w:cs="Times New Roman"/>
          <w:color w:val="auto"/>
          <w:position w:val="0"/>
          <w:sz w:val="24"/>
          <w:szCs w:val="24"/>
          <w:lang w:val="uk"/>
        </w:rPr>
      </w:pPr>
      <w:bookmarkStart w:id="16" w:name="_duhstdze4t1l" w:colFirst="0" w:colLast="0"/>
      <w:bookmarkEnd w:id="16"/>
      <w:r w:rsidRPr="0037165B">
        <w:rPr>
          <w:rFonts w:ascii="Times New Roman" w:hAnsi="Times New Roman" w:cs="Times New Roman"/>
          <w:color w:val="auto"/>
          <w:position w:val="0"/>
          <w:sz w:val="24"/>
          <w:szCs w:val="24"/>
          <w:lang w:val="uk"/>
        </w:rPr>
        <w:t>Питання репарацій та компенсації шкоди тим, хто її завдав, порушивши норми міжнародного права є, перш за все, цариною юриспруденції, а не соціальної сфери. Окрім того, головний об'єм роботи у цьому напрямку на міжнародній арені покладено та успішно реалізується Міністерством юстиції України. Відповідно до Положення про Міністерство юстиції, орган також забезпечує реалізацію державної політики у сфері стягнення в дохід держави активів осіб, щодо яких застосовано санкції.</w:t>
      </w:r>
    </w:p>
    <w:p w:rsidR="0037165B" w:rsidRPr="0037165B" w:rsidRDefault="0037165B" w:rsidP="0037165B">
      <w:pPr>
        <w:suppressAutoHyphens w:val="0"/>
        <w:spacing w:line="240" w:lineRule="auto"/>
        <w:ind w:leftChars="0" w:left="0" w:firstLineChars="0" w:firstLine="708"/>
        <w:jc w:val="both"/>
        <w:textDirection w:val="lrTb"/>
        <w:textAlignment w:val="auto"/>
        <w:outlineLvl w:val="9"/>
        <w:rPr>
          <w:rFonts w:ascii="Times New Roman" w:hAnsi="Times New Roman" w:cs="Times New Roman"/>
          <w:color w:val="auto"/>
          <w:position w:val="0"/>
          <w:sz w:val="24"/>
          <w:szCs w:val="24"/>
          <w:lang w:val="uk"/>
        </w:rPr>
      </w:pPr>
      <w:bookmarkStart w:id="17" w:name="_u9e0mngk6cyh" w:colFirst="0" w:colLast="0"/>
      <w:bookmarkEnd w:id="17"/>
      <w:r w:rsidRPr="0037165B">
        <w:rPr>
          <w:rFonts w:ascii="Times New Roman" w:hAnsi="Times New Roman" w:cs="Times New Roman"/>
          <w:color w:val="auto"/>
          <w:position w:val="0"/>
          <w:sz w:val="24"/>
          <w:szCs w:val="24"/>
          <w:lang w:val="uk"/>
        </w:rPr>
        <w:lastRenderedPageBreak/>
        <w:t>Виходячи з цього, логічним було б, якби усі процедури щодо відшкодування шкоди, репарацій та притягнення агресора до відповідальності, у тому числі й забезпечення збору інформації про збитки відносились до сфери відання Міністерства юстиції.</w:t>
      </w:r>
    </w:p>
    <w:p w:rsidR="0037165B" w:rsidRPr="0037165B" w:rsidRDefault="0037165B" w:rsidP="0037165B">
      <w:pPr>
        <w:suppressAutoHyphens w:val="0"/>
        <w:spacing w:line="240" w:lineRule="auto"/>
        <w:ind w:leftChars="0" w:left="0" w:firstLineChars="0" w:firstLine="708"/>
        <w:jc w:val="both"/>
        <w:textDirection w:val="lrTb"/>
        <w:textAlignment w:val="auto"/>
        <w:outlineLvl w:val="9"/>
        <w:rPr>
          <w:rFonts w:ascii="Times New Roman" w:hAnsi="Times New Roman" w:cs="Times New Roman"/>
          <w:color w:val="auto"/>
          <w:position w:val="0"/>
          <w:sz w:val="24"/>
          <w:szCs w:val="24"/>
          <w:lang w:val="uk"/>
        </w:rPr>
      </w:pPr>
      <w:bookmarkStart w:id="18" w:name="_drw0toulv021" w:colFirst="0" w:colLast="0"/>
      <w:bookmarkEnd w:id="18"/>
      <w:r w:rsidRPr="0037165B">
        <w:rPr>
          <w:rFonts w:ascii="Times New Roman" w:hAnsi="Times New Roman" w:cs="Times New Roman"/>
          <w:color w:val="auto"/>
          <w:position w:val="0"/>
          <w:sz w:val="24"/>
          <w:szCs w:val="24"/>
          <w:lang w:val="uk"/>
        </w:rPr>
        <w:t>Однак, зважаючи на готовність та високу інституційну спроможність Міністерства соціальної політики України та підпорядкованих йому органів, ми не вбачаємо великої проблеми, якщо функціонування Реєстру постраждалих осіб буде віднесено до їх сфери.</w:t>
      </w:r>
    </w:p>
    <w:p w:rsidR="0037165B" w:rsidRPr="0037165B" w:rsidRDefault="0037165B" w:rsidP="0037165B">
      <w:pPr>
        <w:suppressAutoHyphens w:val="0"/>
        <w:spacing w:line="240" w:lineRule="auto"/>
        <w:ind w:leftChars="0" w:left="0" w:firstLineChars="0" w:firstLine="708"/>
        <w:jc w:val="both"/>
        <w:textDirection w:val="lrTb"/>
        <w:textAlignment w:val="auto"/>
        <w:outlineLvl w:val="9"/>
        <w:rPr>
          <w:rFonts w:ascii="Times New Roman" w:hAnsi="Times New Roman" w:cs="Times New Roman"/>
          <w:color w:val="auto"/>
          <w:position w:val="0"/>
          <w:sz w:val="24"/>
          <w:szCs w:val="24"/>
          <w:lang w:val="uk"/>
        </w:rPr>
      </w:pPr>
      <w:bookmarkStart w:id="19" w:name="_5ahu0hyi733y" w:colFirst="0" w:colLast="0"/>
      <w:bookmarkEnd w:id="19"/>
      <w:r w:rsidRPr="0037165B">
        <w:rPr>
          <w:rFonts w:ascii="Times New Roman" w:hAnsi="Times New Roman" w:cs="Times New Roman"/>
          <w:color w:val="auto"/>
          <w:position w:val="0"/>
          <w:sz w:val="24"/>
          <w:szCs w:val="24"/>
          <w:lang w:val="uk"/>
        </w:rPr>
        <w:t xml:space="preserve">Важливим у такому випадку буде подальше налагодження ефективної комунікації адміністратора Реєстру з усіма іншими уповноваженими органами. Також доцільно розглянути можливість подання інформації до Реєстру не лише через  Пенсійний фонд України, а й, наприклад, через центри надання адміністративних послуг, робота яких отримує позитивні відгуки суспільства. </w:t>
      </w:r>
    </w:p>
    <w:p w:rsidR="0037165B" w:rsidRPr="0037165B" w:rsidRDefault="0037165B" w:rsidP="0037165B">
      <w:pPr>
        <w:suppressAutoHyphens w:val="0"/>
        <w:spacing w:line="240" w:lineRule="auto"/>
        <w:ind w:leftChars="0" w:left="0" w:firstLineChars="0" w:firstLine="708"/>
        <w:jc w:val="both"/>
        <w:textDirection w:val="lrTb"/>
        <w:textAlignment w:val="auto"/>
        <w:outlineLvl w:val="9"/>
        <w:rPr>
          <w:rFonts w:ascii="Times New Roman" w:hAnsi="Times New Roman" w:cs="Times New Roman"/>
          <w:color w:val="auto"/>
          <w:position w:val="0"/>
          <w:sz w:val="24"/>
          <w:szCs w:val="24"/>
          <w:lang w:val="uk"/>
        </w:rPr>
      </w:pPr>
      <w:bookmarkStart w:id="20" w:name="_vescxvetz744" w:colFirst="0" w:colLast="0"/>
      <w:bookmarkEnd w:id="20"/>
      <w:r w:rsidRPr="0037165B">
        <w:rPr>
          <w:rFonts w:ascii="Times New Roman" w:hAnsi="Times New Roman" w:cs="Times New Roman"/>
          <w:color w:val="auto"/>
          <w:position w:val="0"/>
          <w:sz w:val="24"/>
          <w:szCs w:val="24"/>
          <w:lang w:val="uk"/>
        </w:rPr>
        <w:t>Застосування диференційованих підходів, з акцентом на спрощення бюрократичних перепон для постраждалих, а також ефективна комунікація, дозволить зробити Реєстр найбільшою базою інформації про наслідки збройної агресії, яка в подальшому стане підставою для реальних компенсацій постраждалим.</w:t>
      </w:r>
    </w:p>
    <w:p w:rsidR="0037165B" w:rsidRPr="0037165B" w:rsidRDefault="0037165B" w:rsidP="0037165B">
      <w:pPr>
        <w:suppressAutoHyphens w:val="0"/>
        <w:spacing w:line="240" w:lineRule="auto"/>
        <w:ind w:leftChars="0" w:left="0" w:firstLineChars="0" w:firstLine="708"/>
        <w:jc w:val="both"/>
        <w:textDirection w:val="lrTb"/>
        <w:textAlignment w:val="auto"/>
        <w:outlineLvl w:val="9"/>
        <w:rPr>
          <w:rFonts w:ascii="Times New Roman" w:hAnsi="Times New Roman" w:cs="Times New Roman"/>
          <w:color w:val="auto"/>
          <w:position w:val="0"/>
          <w:sz w:val="24"/>
          <w:szCs w:val="24"/>
          <w:lang w:val="uk"/>
        </w:rPr>
      </w:pPr>
      <w:bookmarkStart w:id="21" w:name="_m5vjhj3akxn3" w:colFirst="0" w:colLast="0"/>
      <w:bookmarkEnd w:id="21"/>
      <w:r w:rsidRPr="0037165B">
        <w:rPr>
          <w:rFonts w:ascii="Times New Roman" w:hAnsi="Times New Roman" w:cs="Times New Roman"/>
          <w:color w:val="auto"/>
          <w:position w:val="0"/>
          <w:sz w:val="24"/>
          <w:szCs w:val="24"/>
          <w:lang w:val="uk"/>
        </w:rPr>
        <w:t>У цьому аспекті, важливо закріпити, що збір такої інформації повинен не обмежуватись жодними формальними вимогами. Наприклад, слід передбачити, що подати інформацію до Реєстру можуть не лише особи, які формально отримали статус потерпілого, зокрема в кримінальному провадженні. Особа може постраждати від агресії незалежно від подальшого розслідування таких фактів органами правопорядку, тому функціонування Реєстру має розумітись виключно як адміністративна процедура фіксації завданої шкоди.</w:t>
      </w:r>
    </w:p>
    <w:p w:rsidR="0037165B" w:rsidRPr="0037165B" w:rsidRDefault="0037165B" w:rsidP="0037165B">
      <w:pPr>
        <w:suppressAutoHyphens w:val="0"/>
        <w:spacing w:line="240" w:lineRule="auto"/>
        <w:ind w:leftChars="0" w:left="0" w:firstLineChars="0" w:firstLine="708"/>
        <w:jc w:val="both"/>
        <w:textDirection w:val="lrTb"/>
        <w:textAlignment w:val="auto"/>
        <w:outlineLvl w:val="9"/>
        <w:rPr>
          <w:rFonts w:ascii="Times New Roman" w:hAnsi="Times New Roman" w:cs="Times New Roman"/>
          <w:b/>
          <w:color w:val="auto"/>
          <w:position w:val="0"/>
          <w:sz w:val="24"/>
          <w:szCs w:val="24"/>
          <w:lang w:val="uk"/>
        </w:rPr>
      </w:pPr>
      <w:bookmarkStart w:id="22" w:name="_spwt7cr56ifi" w:colFirst="0" w:colLast="0"/>
      <w:bookmarkEnd w:id="22"/>
    </w:p>
    <w:p w:rsidR="0037165B" w:rsidRPr="0037165B" w:rsidRDefault="0037165B" w:rsidP="0037165B">
      <w:pPr>
        <w:suppressAutoHyphens w:val="0"/>
        <w:spacing w:line="240" w:lineRule="auto"/>
        <w:ind w:leftChars="0" w:left="0" w:firstLineChars="0" w:firstLine="708"/>
        <w:jc w:val="both"/>
        <w:textDirection w:val="lrTb"/>
        <w:textAlignment w:val="auto"/>
        <w:outlineLvl w:val="9"/>
        <w:rPr>
          <w:rFonts w:ascii="Times New Roman" w:hAnsi="Times New Roman" w:cs="Times New Roman"/>
          <w:b/>
          <w:color w:val="auto"/>
          <w:position w:val="0"/>
          <w:sz w:val="24"/>
          <w:szCs w:val="24"/>
          <w:lang w:val="uk"/>
        </w:rPr>
      </w:pPr>
      <w:bookmarkStart w:id="23" w:name="_8gedtbh34tf4" w:colFirst="0" w:colLast="0"/>
      <w:bookmarkEnd w:id="23"/>
      <w:r w:rsidRPr="0037165B">
        <w:rPr>
          <w:rFonts w:ascii="Times New Roman" w:hAnsi="Times New Roman" w:cs="Times New Roman"/>
          <w:b/>
          <w:color w:val="auto"/>
          <w:position w:val="0"/>
          <w:sz w:val="24"/>
          <w:szCs w:val="24"/>
          <w:lang w:val="uk"/>
        </w:rPr>
        <w:t>3. Законом визначено надто широкий перелік випадків завдання шкоди життю та здоров’ю.</w:t>
      </w:r>
    </w:p>
    <w:p w:rsidR="0037165B" w:rsidRPr="0037165B" w:rsidRDefault="0037165B" w:rsidP="0037165B">
      <w:pPr>
        <w:suppressAutoHyphens w:val="0"/>
        <w:spacing w:line="240" w:lineRule="auto"/>
        <w:ind w:leftChars="0" w:left="0" w:firstLineChars="0" w:firstLine="708"/>
        <w:jc w:val="both"/>
        <w:textDirection w:val="lrTb"/>
        <w:textAlignment w:val="auto"/>
        <w:outlineLvl w:val="9"/>
        <w:rPr>
          <w:rFonts w:ascii="Times New Roman" w:hAnsi="Times New Roman" w:cs="Times New Roman"/>
          <w:color w:val="auto"/>
          <w:position w:val="0"/>
          <w:sz w:val="24"/>
          <w:szCs w:val="24"/>
          <w:lang w:val="uk"/>
        </w:rPr>
      </w:pPr>
      <w:bookmarkStart w:id="24" w:name="_lsyinj43lwlh" w:colFirst="0" w:colLast="0"/>
      <w:bookmarkEnd w:id="24"/>
      <w:r w:rsidRPr="0037165B">
        <w:rPr>
          <w:rFonts w:ascii="Times New Roman" w:hAnsi="Times New Roman" w:cs="Times New Roman"/>
          <w:color w:val="auto"/>
          <w:position w:val="0"/>
          <w:sz w:val="24"/>
          <w:szCs w:val="24"/>
          <w:lang w:val="uk"/>
        </w:rPr>
        <w:t xml:space="preserve">Як уже зазначалось, Реєстр постраждалих осіб створюється з метою фіксації інформації про шкоду життю та </w:t>
      </w:r>
      <w:proofErr w:type="spellStart"/>
      <w:r w:rsidRPr="0037165B">
        <w:rPr>
          <w:rFonts w:ascii="Times New Roman" w:hAnsi="Times New Roman" w:cs="Times New Roman"/>
          <w:color w:val="auto"/>
          <w:position w:val="0"/>
          <w:sz w:val="24"/>
          <w:szCs w:val="24"/>
          <w:lang w:val="uk"/>
        </w:rPr>
        <w:t>здоровʼю</w:t>
      </w:r>
      <w:proofErr w:type="spellEnd"/>
      <w:r w:rsidRPr="0037165B">
        <w:rPr>
          <w:rFonts w:ascii="Times New Roman" w:hAnsi="Times New Roman" w:cs="Times New Roman"/>
          <w:color w:val="auto"/>
          <w:position w:val="0"/>
          <w:sz w:val="24"/>
          <w:szCs w:val="24"/>
          <w:lang w:val="uk"/>
        </w:rPr>
        <w:t>. У ч. 1 ст. 2 законопроекту визначено 14 випадків, які свідчать про виникнення такої шкоди.</w:t>
      </w:r>
    </w:p>
    <w:p w:rsidR="0037165B" w:rsidRPr="0037165B" w:rsidRDefault="0037165B" w:rsidP="0037165B">
      <w:pPr>
        <w:suppressAutoHyphens w:val="0"/>
        <w:spacing w:line="240" w:lineRule="auto"/>
        <w:ind w:leftChars="0" w:left="0" w:firstLineChars="0" w:firstLine="708"/>
        <w:jc w:val="both"/>
        <w:textDirection w:val="lrTb"/>
        <w:textAlignment w:val="auto"/>
        <w:outlineLvl w:val="9"/>
        <w:rPr>
          <w:rFonts w:ascii="Times New Roman" w:hAnsi="Times New Roman" w:cs="Times New Roman"/>
          <w:color w:val="auto"/>
          <w:position w:val="0"/>
          <w:sz w:val="24"/>
          <w:szCs w:val="24"/>
          <w:lang w:val="uk"/>
        </w:rPr>
      </w:pPr>
      <w:bookmarkStart w:id="25" w:name="_q6mf9gitoht5" w:colFirst="0" w:colLast="0"/>
      <w:bookmarkEnd w:id="25"/>
      <w:r w:rsidRPr="0037165B">
        <w:rPr>
          <w:rFonts w:ascii="Times New Roman" w:hAnsi="Times New Roman" w:cs="Times New Roman"/>
          <w:color w:val="auto"/>
          <w:position w:val="0"/>
          <w:sz w:val="24"/>
          <w:szCs w:val="24"/>
          <w:lang w:val="uk"/>
        </w:rPr>
        <w:t xml:space="preserve">Однак деякі з них </w:t>
      </w:r>
      <w:proofErr w:type="spellStart"/>
      <w:r w:rsidRPr="0037165B">
        <w:rPr>
          <w:rFonts w:ascii="Times New Roman" w:hAnsi="Times New Roman" w:cs="Times New Roman"/>
          <w:color w:val="auto"/>
          <w:position w:val="0"/>
          <w:sz w:val="24"/>
          <w:szCs w:val="24"/>
          <w:lang w:val="uk"/>
        </w:rPr>
        <w:t>сутнісно</w:t>
      </w:r>
      <w:proofErr w:type="spellEnd"/>
      <w:r w:rsidRPr="0037165B">
        <w:rPr>
          <w:rFonts w:ascii="Times New Roman" w:hAnsi="Times New Roman" w:cs="Times New Roman"/>
          <w:color w:val="auto"/>
          <w:position w:val="0"/>
          <w:sz w:val="24"/>
          <w:szCs w:val="24"/>
          <w:lang w:val="uk"/>
        </w:rPr>
        <w:t xml:space="preserve"> не можуть відноситись до шкоди життю та </w:t>
      </w:r>
      <w:proofErr w:type="spellStart"/>
      <w:r w:rsidRPr="0037165B">
        <w:rPr>
          <w:rFonts w:ascii="Times New Roman" w:hAnsi="Times New Roman" w:cs="Times New Roman"/>
          <w:color w:val="auto"/>
          <w:position w:val="0"/>
          <w:sz w:val="24"/>
          <w:szCs w:val="24"/>
          <w:lang w:val="uk"/>
        </w:rPr>
        <w:t>здоровʼю</w:t>
      </w:r>
      <w:proofErr w:type="spellEnd"/>
      <w:r w:rsidRPr="0037165B">
        <w:rPr>
          <w:rFonts w:ascii="Times New Roman" w:hAnsi="Times New Roman" w:cs="Times New Roman"/>
          <w:color w:val="auto"/>
          <w:position w:val="0"/>
          <w:sz w:val="24"/>
          <w:szCs w:val="24"/>
          <w:lang w:val="uk"/>
        </w:rPr>
        <w:t xml:space="preserve">, навіть у випадку застосування найширшого визначення терміну </w:t>
      </w:r>
      <w:proofErr w:type="spellStart"/>
      <w:r w:rsidRPr="0037165B">
        <w:rPr>
          <w:rFonts w:ascii="Times New Roman" w:hAnsi="Times New Roman" w:cs="Times New Roman"/>
          <w:color w:val="auto"/>
          <w:position w:val="0"/>
          <w:sz w:val="24"/>
          <w:szCs w:val="24"/>
          <w:lang w:val="uk"/>
        </w:rPr>
        <w:t>здоровʼя</w:t>
      </w:r>
      <w:proofErr w:type="spellEnd"/>
      <w:r w:rsidRPr="0037165B">
        <w:rPr>
          <w:rFonts w:ascii="Times New Roman" w:hAnsi="Times New Roman" w:cs="Times New Roman"/>
          <w:color w:val="auto"/>
          <w:position w:val="0"/>
          <w:sz w:val="24"/>
          <w:szCs w:val="24"/>
          <w:lang w:val="uk"/>
        </w:rPr>
        <w:t>, яке надається ВООЗ</w:t>
      </w:r>
      <w:r w:rsidRPr="0037165B">
        <w:rPr>
          <w:rFonts w:ascii="Times New Roman" w:hAnsi="Times New Roman" w:cs="Times New Roman"/>
          <w:color w:val="auto"/>
          <w:position w:val="0"/>
          <w:sz w:val="24"/>
          <w:szCs w:val="24"/>
          <w:vertAlign w:val="superscript"/>
          <w:lang w:val="uk"/>
        </w:rPr>
        <w:footnoteReference w:id="3"/>
      </w:r>
      <w:r w:rsidRPr="0037165B">
        <w:rPr>
          <w:rFonts w:ascii="Times New Roman" w:hAnsi="Times New Roman" w:cs="Times New Roman"/>
          <w:color w:val="auto"/>
          <w:position w:val="0"/>
          <w:sz w:val="24"/>
          <w:szCs w:val="24"/>
          <w:lang w:val="uk"/>
        </w:rPr>
        <w:t>. Це однозначно стосується таких пунктів: “14) втрати доступу до освітніх послуг; 15) втрати доходу та засобів для існування; 16) моральної шкоди; 17) фізичних страждань, емоційного напруження, дискомфорту; 18) інших порушень особистих немайнових прав, що забезпечують природне існування фізичної особи, або міжнародного права прав людини та міжнародного гуманітарного права.</w:t>
      </w:r>
    </w:p>
    <w:p w:rsidR="0037165B" w:rsidRPr="0037165B" w:rsidRDefault="0037165B" w:rsidP="0037165B">
      <w:pPr>
        <w:suppressAutoHyphens w:val="0"/>
        <w:spacing w:line="240" w:lineRule="auto"/>
        <w:ind w:leftChars="0" w:left="0" w:firstLineChars="0" w:firstLine="708"/>
        <w:jc w:val="both"/>
        <w:textDirection w:val="lrTb"/>
        <w:textAlignment w:val="auto"/>
        <w:outlineLvl w:val="9"/>
        <w:rPr>
          <w:rFonts w:ascii="Times New Roman" w:hAnsi="Times New Roman" w:cs="Times New Roman"/>
          <w:color w:val="auto"/>
          <w:position w:val="0"/>
          <w:sz w:val="24"/>
          <w:szCs w:val="24"/>
          <w:lang w:val="uk"/>
        </w:rPr>
      </w:pPr>
      <w:bookmarkStart w:id="26" w:name="_k2684mhpo1u7" w:colFirst="0" w:colLast="0"/>
      <w:bookmarkEnd w:id="26"/>
      <w:r w:rsidRPr="0037165B">
        <w:rPr>
          <w:rFonts w:ascii="Times New Roman" w:hAnsi="Times New Roman" w:cs="Times New Roman"/>
          <w:color w:val="auto"/>
          <w:position w:val="0"/>
          <w:sz w:val="24"/>
          <w:szCs w:val="24"/>
          <w:lang w:val="uk"/>
        </w:rPr>
        <w:t xml:space="preserve">Оскільки прийняття рішень з питань встановлення факту завдання шкоди життю та </w:t>
      </w:r>
      <w:proofErr w:type="spellStart"/>
      <w:r w:rsidRPr="0037165B">
        <w:rPr>
          <w:rFonts w:ascii="Times New Roman" w:hAnsi="Times New Roman" w:cs="Times New Roman"/>
          <w:color w:val="auto"/>
          <w:position w:val="0"/>
          <w:sz w:val="24"/>
          <w:szCs w:val="24"/>
          <w:lang w:val="uk"/>
        </w:rPr>
        <w:t>здоровʼю</w:t>
      </w:r>
      <w:proofErr w:type="spellEnd"/>
      <w:r w:rsidRPr="0037165B">
        <w:rPr>
          <w:rFonts w:ascii="Times New Roman" w:hAnsi="Times New Roman" w:cs="Times New Roman"/>
          <w:color w:val="auto"/>
          <w:position w:val="0"/>
          <w:sz w:val="24"/>
          <w:szCs w:val="24"/>
          <w:lang w:val="uk"/>
        </w:rPr>
        <w:t xml:space="preserve"> здійснюється в порядку, встановленому Кабінетом Міністрів України (ч. 2 ст. 2), вказані критерії будуть конкретизовані на підзаконному рівні. Проте, видається логічним, </w:t>
      </w:r>
      <w:proofErr w:type="spellStart"/>
      <w:r w:rsidRPr="0037165B">
        <w:rPr>
          <w:rFonts w:ascii="Times New Roman" w:hAnsi="Times New Roman" w:cs="Times New Roman"/>
          <w:color w:val="auto"/>
          <w:position w:val="0"/>
          <w:sz w:val="24"/>
          <w:szCs w:val="24"/>
          <w:lang w:val="uk"/>
        </w:rPr>
        <w:t>винисення</w:t>
      </w:r>
      <w:proofErr w:type="spellEnd"/>
      <w:r w:rsidRPr="0037165B">
        <w:rPr>
          <w:rFonts w:ascii="Times New Roman" w:hAnsi="Times New Roman" w:cs="Times New Roman"/>
          <w:color w:val="auto"/>
          <w:position w:val="0"/>
          <w:sz w:val="24"/>
          <w:szCs w:val="24"/>
          <w:lang w:val="uk"/>
        </w:rPr>
        <w:t xml:space="preserve"> вказаних критеріїв завданої шкоди за межі поняття шкоди життю та </w:t>
      </w:r>
      <w:proofErr w:type="spellStart"/>
      <w:r w:rsidRPr="0037165B">
        <w:rPr>
          <w:rFonts w:ascii="Times New Roman" w:hAnsi="Times New Roman" w:cs="Times New Roman"/>
          <w:color w:val="auto"/>
          <w:position w:val="0"/>
          <w:sz w:val="24"/>
          <w:szCs w:val="24"/>
          <w:lang w:val="uk"/>
        </w:rPr>
        <w:t>здоровʼю</w:t>
      </w:r>
      <w:proofErr w:type="spellEnd"/>
      <w:r w:rsidRPr="0037165B">
        <w:rPr>
          <w:rFonts w:ascii="Times New Roman" w:hAnsi="Times New Roman" w:cs="Times New Roman"/>
          <w:color w:val="auto"/>
          <w:position w:val="0"/>
          <w:sz w:val="24"/>
          <w:szCs w:val="24"/>
          <w:lang w:val="uk"/>
        </w:rPr>
        <w:t>.</w:t>
      </w:r>
    </w:p>
    <w:p w:rsidR="0037165B" w:rsidRPr="0037165B" w:rsidRDefault="0037165B" w:rsidP="0037165B">
      <w:pPr>
        <w:suppressAutoHyphens w:val="0"/>
        <w:spacing w:line="240" w:lineRule="auto"/>
        <w:ind w:leftChars="0" w:left="0" w:firstLineChars="0" w:firstLine="708"/>
        <w:jc w:val="both"/>
        <w:textDirection w:val="lrTb"/>
        <w:textAlignment w:val="auto"/>
        <w:outlineLvl w:val="9"/>
        <w:rPr>
          <w:rFonts w:ascii="Times New Roman" w:hAnsi="Times New Roman" w:cs="Times New Roman"/>
          <w:color w:val="auto"/>
          <w:position w:val="0"/>
          <w:sz w:val="24"/>
          <w:szCs w:val="24"/>
          <w:lang w:val="uk"/>
        </w:rPr>
      </w:pPr>
      <w:bookmarkStart w:id="27" w:name="_q3op8ntj4xpi" w:colFirst="0" w:colLast="0"/>
      <w:bookmarkEnd w:id="27"/>
      <w:r w:rsidRPr="0037165B">
        <w:rPr>
          <w:rFonts w:ascii="Times New Roman" w:hAnsi="Times New Roman" w:cs="Times New Roman"/>
          <w:color w:val="auto"/>
          <w:position w:val="0"/>
          <w:sz w:val="24"/>
          <w:szCs w:val="24"/>
          <w:lang w:val="uk"/>
        </w:rPr>
        <w:t>Рекомендуємо удосконалити критерії шкоди, інформація про яку може бути віднесена до Реєстру.</w:t>
      </w:r>
    </w:p>
    <w:p w:rsidR="0037165B" w:rsidRPr="0037165B" w:rsidRDefault="0037165B" w:rsidP="0037165B">
      <w:pPr>
        <w:suppressAutoHyphens w:val="0"/>
        <w:spacing w:line="240" w:lineRule="auto"/>
        <w:ind w:leftChars="0" w:left="0" w:firstLineChars="0" w:firstLine="708"/>
        <w:jc w:val="both"/>
        <w:textDirection w:val="lrTb"/>
        <w:textAlignment w:val="auto"/>
        <w:outlineLvl w:val="9"/>
        <w:rPr>
          <w:rFonts w:ascii="Times New Roman" w:hAnsi="Times New Roman" w:cs="Times New Roman"/>
          <w:color w:val="auto"/>
          <w:position w:val="0"/>
          <w:sz w:val="24"/>
          <w:szCs w:val="24"/>
          <w:lang w:val="uk"/>
        </w:rPr>
      </w:pPr>
      <w:bookmarkStart w:id="28" w:name="_ejefpmeai8kp" w:colFirst="0" w:colLast="0"/>
      <w:bookmarkEnd w:id="28"/>
    </w:p>
    <w:p w:rsidR="0037165B" w:rsidRPr="0037165B" w:rsidRDefault="0037165B" w:rsidP="0037165B">
      <w:pPr>
        <w:suppressAutoHyphens w:val="0"/>
        <w:spacing w:line="240" w:lineRule="auto"/>
        <w:ind w:leftChars="0" w:left="0" w:firstLineChars="0" w:firstLine="708"/>
        <w:jc w:val="both"/>
        <w:textDirection w:val="lrTb"/>
        <w:textAlignment w:val="auto"/>
        <w:outlineLvl w:val="9"/>
        <w:rPr>
          <w:rFonts w:ascii="Times New Roman" w:hAnsi="Times New Roman" w:cs="Times New Roman"/>
          <w:b/>
          <w:color w:val="auto"/>
          <w:position w:val="0"/>
          <w:sz w:val="24"/>
          <w:szCs w:val="24"/>
          <w:lang w:val="uk"/>
        </w:rPr>
      </w:pPr>
      <w:bookmarkStart w:id="29" w:name="_34tkwx54l0q4" w:colFirst="0" w:colLast="0"/>
      <w:bookmarkEnd w:id="29"/>
      <w:r w:rsidRPr="0037165B">
        <w:rPr>
          <w:rFonts w:ascii="Times New Roman" w:hAnsi="Times New Roman" w:cs="Times New Roman"/>
          <w:b/>
          <w:color w:val="auto"/>
          <w:position w:val="0"/>
          <w:sz w:val="24"/>
          <w:szCs w:val="24"/>
          <w:lang w:val="uk"/>
        </w:rPr>
        <w:t>4.</w:t>
      </w:r>
      <w:r w:rsidRPr="0037165B">
        <w:rPr>
          <w:rFonts w:ascii="Times New Roman" w:hAnsi="Times New Roman" w:cs="Times New Roman"/>
          <w:color w:val="auto"/>
          <w:position w:val="0"/>
          <w:sz w:val="24"/>
          <w:szCs w:val="24"/>
          <w:lang w:val="uk"/>
        </w:rPr>
        <w:t xml:space="preserve"> </w:t>
      </w:r>
      <w:r w:rsidRPr="0037165B">
        <w:rPr>
          <w:rFonts w:ascii="Times New Roman" w:hAnsi="Times New Roman" w:cs="Times New Roman"/>
          <w:b/>
          <w:color w:val="auto"/>
          <w:position w:val="0"/>
          <w:sz w:val="24"/>
          <w:szCs w:val="24"/>
          <w:lang w:val="uk"/>
        </w:rPr>
        <w:t>Визначення джерел фінансування розробки Реєстру постраждалих осіб.</w:t>
      </w:r>
    </w:p>
    <w:p w:rsidR="0037165B" w:rsidRPr="0037165B" w:rsidRDefault="0037165B" w:rsidP="0037165B">
      <w:pPr>
        <w:suppressAutoHyphens w:val="0"/>
        <w:spacing w:line="240" w:lineRule="auto"/>
        <w:ind w:leftChars="0" w:left="0" w:firstLineChars="0" w:firstLine="708"/>
        <w:jc w:val="both"/>
        <w:textDirection w:val="lrTb"/>
        <w:textAlignment w:val="auto"/>
        <w:outlineLvl w:val="9"/>
        <w:rPr>
          <w:rFonts w:ascii="Times New Roman" w:hAnsi="Times New Roman" w:cs="Times New Roman"/>
          <w:color w:val="auto"/>
          <w:position w:val="0"/>
          <w:sz w:val="24"/>
          <w:szCs w:val="24"/>
          <w:lang w:val="uk"/>
        </w:rPr>
      </w:pPr>
      <w:bookmarkStart w:id="30" w:name="_4a1nb5uds4jh" w:colFirst="0" w:colLast="0"/>
      <w:bookmarkEnd w:id="30"/>
      <w:r w:rsidRPr="0037165B">
        <w:rPr>
          <w:rFonts w:ascii="Times New Roman" w:hAnsi="Times New Roman" w:cs="Times New Roman"/>
          <w:color w:val="auto"/>
          <w:position w:val="0"/>
          <w:sz w:val="24"/>
          <w:szCs w:val="24"/>
          <w:lang w:val="uk"/>
        </w:rPr>
        <w:t xml:space="preserve">Згідно з ч. 7 ст. 3 проєкту </w:t>
      </w:r>
      <w:r w:rsidRPr="0037165B">
        <w:rPr>
          <w:rFonts w:ascii="Times New Roman" w:hAnsi="Times New Roman" w:cs="Times New Roman"/>
          <w:i/>
          <w:color w:val="auto"/>
          <w:position w:val="0"/>
          <w:sz w:val="24"/>
          <w:szCs w:val="24"/>
          <w:lang w:val="uk"/>
        </w:rPr>
        <w:t xml:space="preserve">“Створення програмно-технічних засобів, ведення </w:t>
      </w:r>
      <w:proofErr w:type="spellStart"/>
      <w:r w:rsidRPr="0037165B">
        <w:rPr>
          <w:rFonts w:ascii="Times New Roman" w:hAnsi="Times New Roman" w:cs="Times New Roman"/>
          <w:i/>
          <w:color w:val="auto"/>
          <w:position w:val="0"/>
          <w:sz w:val="24"/>
          <w:szCs w:val="24"/>
          <w:lang w:val="uk"/>
        </w:rPr>
        <w:t>тa</w:t>
      </w:r>
      <w:proofErr w:type="spellEnd"/>
      <w:r w:rsidRPr="0037165B">
        <w:rPr>
          <w:rFonts w:ascii="Times New Roman" w:hAnsi="Times New Roman" w:cs="Times New Roman"/>
          <w:i/>
          <w:color w:val="auto"/>
          <w:position w:val="0"/>
          <w:sz w:val="24"/>
          <w:szCs w:val="24"/>
          <w:lang w:val="uk"/>
        </w:rPr>
        <w:t xml:space="preserve"> адміністрування Реєстру постраждалих осіб здійснюється за рахунок міжнародної технічної та/або поворотної чи безповоротної фінансової допомоги міжнародних організацій</w:t>
      </w:r>
      <w:r w:rsidRPr="0037165B">
        <w:rPr>
          <w:rFonts w:ascii="Times New Roman" w:hAnsi="Times New Roman" w:cs="Times New Roman"/>
          <w:color w:val="auto"/>
          <w:position w:val="0"/>
          <w:sz w:val="24"/>
          <w:szCs w:val="24"/>
          <w:lang w:val="uk"/>
        </w:rPr>
        <w:t>”.</w:t>
      </w:r>
    </w:p>
    <w:p w:rsidR="0037165B" w:rsidRPr="0037165B" w:rsidRDefault="0037165B" w:rsidP="0037165B">
      <w:pPr>
        <w:suppressAutoHyphens w:val="0"/>
        <w:spacing w:line="240" w:lineRule="auto"/>
        <w:ind w:leftChars="0" w:left="0" w:firstLineChars="0" w:firstLine="705"/>
        <w:jc w:val="both"/>
        <w:textDirection w:val="lrTb"/>
        <w:textAlignment w:val="auto"/>
        <w:outlineLvl w:val="9"/>
        <w:rPr>
          <w:rFonts w:ascii="Times New Roman" w:hAnsi="Times New Roman" w:cs="Times New Roman"/>
          <w:color w:val="auto"/>
          <w:position w:val="0"/>
          <w:sz w:val="24"/>
          <w:szCs w:val="24"/>
          <w:lang w:val="uk"/>
        </w:rPr>
      </w:pPr>
      <w:bookmarkStart w:id="31" w:name="_v577x6cwa2bl" w:colFirst="0" w:colLast="0"/>
      <w:bookmarkEnd w:id="31"/>
      <w:r w:rsidRPr="0037165B">
        <w:rPr>
          <w:rFonts w:ascii="Times New Roman" w:hAnsi="Times New Roman" w:cs="Times New Roman"/>
          <w:color w:val="auto"/>
          <w:position w:val="0"/>
          <w:sz w:val="24"/>
          <w:szCs w:val="24"/>
          <w:lang w:val="uk"/>
        </w:rPr>
        <w:t xml:space="preserve">Ми вітаємо попередню готовність міжнародних донорів профінансувати запуск Реєстру. </w:t>
      </w:r>
    </w:p>
    <w:p w:rsidR="0037165B" w:rsidRPr="0037165B" w:rsidRDefault="0037165B" w:rsidP="0037165B">
      <w:pPr>
        <w:suppressAutoHyphens w:val="0"/>
        <w:spacing w:line="240" w:lineRule="auto"/>
        <w:ind w:leftChars="0" w:left="0" w:firstLineChars="0" w:firstLine="705"/>
        <w:jc w:val="both"/>
        <w:textDirection w:val="lrTb"/>
        <w:textAlignment w:val="auto"/>
        <w:outlineLvl w:val="9"/>
        <w:rPr>
          <w:rFonts w:ascii="Times New Roman" w:hAnsi="Times New Roman" w:cs="Times New Roman"/>
          <w:color w:val="auto"/>
          <w:position w:val="0"/>
          <w:sz w:val="24"/>
          <w:szCs w:val="24"/>
          <w:lang w:val="uk"/>
        </w:rPr>
      </w:pPr>
      <w:bookmarkStart w:id="32" w:name="_ufkw2u5ghzyo" w:colFirst="0" w:colLast="0"/>
      <w:bookmarkEnd w:id="32"/>
      <w:r w:rsidRPr="0037165B">
        <w:rPr>
          <w:rFonts w:ascii="Times New Roman" w:hAnsi="Times New Roman" w:cs="Times New Roman"/>
          <w:color w:val="auto"/>
          <w:position w:val="0"/>
          <w:sz w:val="24"/>
          <w:szCs w:val="24"/>
          <w:lang w:val="uk"/>
        </w:rPr>
        <w:t xml:space="preserve">Однак, незважаючи на безпрецедентну підтримку партнерів, згодом ситуація може змінитись від факторів, які не залежать від України. Це може призвести до того, що </w:t>
      </w:r>
      <w:r w:rsidRPr="0037165B">
        <w:rPr>
          <w:rFonts w:ascii="Times New Roman" w:hAnsi="Times New Roman" w:cs="Times New Roman"/>
          <w:color w:val="auto"/>
          <w:position w:val="0"/>
          <w:sz w:val="24"/>
          <w:szCs w:val="24"/>
          <w:lang w:val="uk"/>
        </w:rPr>
        <w:lastRenderedPageBreak/>
        <w:t>подальше функціонування Реєстру зможе зупинитись будь-якої миті через відсутність міжнародного фінансування.</w:t>
      </w:r>
    </w:p>
    <w:p w:rsidR="0037165B" w:rsidRPr="0037165B" w:rsidRDefault="0037165B" w:rsidP="0037165B">
      <w:pPr>
        <w:suppressAutoHyphens w:val="0"/>
        <w:spacing w:line="240" w:lineRule="auto"/>
        <w:ind w:leftChars="0" w:left="0" w:firstLineChars="0" w:firstLine="705"/>
        <w:jc w:val="both"/>
        <w:textDirection w:val="lrTb"/>
        <w:textAlignment w:val="auto"/>
        <w:outlineLvl w:val="9"/>
        <w:rPr>
          <w:rFonts w:ascii="Times New Roman" w:hAnsi="Times New Roman" w:cs="Times New Roman"/>
          <w:color w:val="auto"/>
          <w:position w:val="0"/>
          <w:sz w:val="24"/>
          <w:szCs w:val="24"/>
          <w:lang w:val="uk"/>
        </w:rPr>
      </w:pPr>
      <w:bookmarkStart w:id="33" w:name="_n1seub97y3d3" w:colFirst="0" w:colLast="0"/>
      <w:bookmarkEnd w:id="33"/>
      <w:r w:rsidRPr="0037165B">
        <w:rPr>
          <w:rFonts w:ascii="Times New Roman" w:hAnsi="Times New Roman" w:cs="Times New Roman"/>
          <w:color w:val="auto"/>
          <w:position w:val="0"/>
          <w:sz w:val="24"/>
          <w:szCs w:val="24"/>
          <w:lang w:val="uk"/>
        </w:rPr>
        <w:t>Рекомендуємо передбачити можливість фінансування роботи Реєстру з інших джерел, зокрема й за рахунок державного бюджету, особливо враховуючи на досить невелику прогнозовану суму, наведену розробниками у пояснювальній записці до проєкту (близько 2 млн гривень).</w:t>
      </w:r>
    </w:p>
    <w:p w:rsidR="0037165B" w:rsidRPr="0037165B" w:rsidRDefault="0037165B" w:rsidP="0037165B">
      <w:pPr>
        <w:suppressAutoHyphens w:val="0"/>
        <w:spacing w:line="240" w:lineRule="auto"/>
        <w:ind w:leftChars="0" w:left="0" w:firstLineChars="0" w:firstLine="705"/>
        <w:jc w:val="both"/>
        <w:textDirection w:val="lrTb"/>
        <w:textAlignment w:val="auto"/>
        <w:outlineLvl w:val="9"/>
        <w:rPr>
          <w:rFonts w:ascii="Times New Roman" w:hAnsi="Times New Roman" w:cs="Times New Roman"/>
          <w:b/>
          <w:color w:val="auto"/>
          <w:position w:val="0"/>
          <w:sz w:val="24"/>
          <w:szCs w:val="24"/>
          <w:lang w:val="uk"/>
        </w:rPr>
      </w:pPr>
      <w:bookmarkStart w:id="34" w:name="_8a0cpx2vr75z" w:colFirst="0" w:colLast="0"/>
      <w:bookmarkEnd w:id="34"/>
    </w:p>
    <w:p w:rsidR="0037165B" w:rsidRPr="0037165B" w:rsidRDefault="0037165B" w:rsidP="0037165B">
      <w:pPr>
        <w:suppressAutoHyphens w:val="0"/>
        <w:spacing w:line="240" w:lineRule="auto"/>
        <w:ind w:leftChars="0" w:left="0" w:firstLineChars="0" w:firstLine="705"/>
        <w:jc w:val="both"/>
        <w:textDirection w:val="lrTb"/>
        <w:textAlignment w:val="auto"/>
        <w:outlineLvl w:val="9"/>
        <w:rPr>
          <w:rFonts w:ascii="Times New Roman" w:hAnsi="Times New Roman" w:cs="Times New Roman"/>
          <w:b/>
          <w:color w:val="auto"/>
          <w:position w:val="0"/>
          <w:sz w:val="24"/>
          <w:szCs w:val="24"/>
          <w:lang w:val="uk"/>
        </w:rPr>
      </w:pPr>
      <w:bookmarkStart w:id="35" w:name="_pkp803p9ye07" w:colFirst="0" w:colLast="0"/>
      <w:bookmarkEnd w:id="35"/>
      <w:r w:rsidRPr="0037165B">
        <w:rPr>
          <w:rFonts w:ascii="Times New Roman" w:hAnsi="Times New Roman" w:cs="Times New Roman"/>
          <w:b/>
          <w:color w:val="auto"/>
          <w:position w:val="0"/>
          <w:sz w:val="24"/>
          <w:szCs w:val="24"/>
          <w:lang w:val="uk"/>
        </w:rPr>
        <w:t>5. Мова ведення Реєстру постраждалих осіб.</w:t>
      </w:r>
    </w:p>
    <w:p w:rsidR="0037165B" w:rsidRPr="0037165B" w:rsidRDefault="0037165B" w:rsidP="0037165B">
      <w:pPr>
        <w:suppressAutoHyphens w:val="0"/>
        <w:spacing w:line="240" w:lineRule="auto"/>
        <w:ind w:leftChars="0" w:left="0" w:firstLineChars="0" w:firstLine="705"/>
        <w:jc w:val="both"/>
        <w:textDirection w:val="lrTb"/>
        <w:textAlignment w:val="auto"/>
        <w:outlineLvl w:val="9"/>
        <w:rPr>
          <w:rFonts w:ascii="Times New Roman" w:hAnsi="Times New Roman" w:cs="Times New Roman"/>
          <w:i/>
          <w:color w:val="auto"/>
          <w:position w:val="0"/>
          <w:sz w:val="24"/>
          <w:szCs w:val="24"/>
          <w:lang w:val="uk"/>
        </w:rPr>
      </w:pPr>
      <w:bookmarkStart w:id="36" w:name="_8iml36o8ocdk" w:colFirst="0" w:colLast="0"/>
      <w:bookmarkEnd w:id="36"/>
      <w:r w:rsidRPr="0037165B">
        <w:rPr>
          <w:rFonts w:ascii="Times New Roman" w:hAnsi="Times New Roman" w:cs="Times New Roman"/>
          <w:color w:val="auto"/>
          <w:position w:val="0"/>
          <w:sz w:val="24"/>
          <w:szCs w:val="24"/>
          <w:lang w:val="uk"/>
        </w:rPr>
        <w:t xml:space="preserve">Відповідно до  ч. 14 ст. 3 проєкту </w:t>
      </w:r>
      <w:r w:rsidRPr="0037165B">
        <w:rPr>
          <w:rFonts w:ascii="Times New Roman" w:hAnsi="Times New Roman" w:cs="Times New Roman"/>
          <w:i/>
          <w:color w:val="auto"/>
          <w:position w:val="0"/>
          <w:sz w:val="24"/>
          <w:szCs w:val="24"/>
          <w:lang w:val="uk"/>
        </w:rPr>
        <w:t>“Мовою ведення Реєстру постраждалих осіб є державна мова”.</w:t>
      </w:r>
    </w:p>
    <w:p w:rsidR="0037165B" w:rsidRPr="0037165B" w:rsidRDefault="0037165B" w:rsidP="0037165B">
      <w:pPr>
        <w:suppressAutoHyphens w:val="0"/>
        <w:spacing w:line="240" w:lineRule="auto"/>
        <w:ind w:leftChars="0" w:left="0" w:firstLineChars="0" w:firstLine="708"/>
        <w:jc w:val="both"/>
        <w:textDirection w:val="lrTb"/>
        <w:textAlignment w:val="auto"/>
        <w:outlineLvl w:val="9"/>
        <w:rPr>
          <w:rFonts w:ascii="Times New Roman" w:hAnsi="Times New Roman" w:cs="Times New Roman"/>
          <w:color w:val="auto"/>
          <w:position w:val="0"/>
          <w:sz w:val="24"/>
          <w:szCs w:val="24"/>
          <w:lang w:val="uk"/>
        </w:rPr>
      </w:pPr>
      <w:bookmarkStart w:id="37" w:name="_9pr5ba9q8oju" w:colFirst="0" w:colLast="0"/>
      <w:bookmarkEnd w:id="37"/>
      <w:r w:rsidRPr="0037165B">
        <w:rPr>
          <w:rFonts w:ascii="Times New Roman" w:hAnsi="Times New Roman" w:cs="Times New Roman"/>
          <w:color w:val="auto"/>
          <w:position w:val="0"/>
          <w:sz w:val="24"/>
          <w:szCs w:val="24"/>
          <w:lang w:val="uk"/>
        </w:rPr>
        <w:t xml:space="preserve">Оскільки передбачається, що інформація, віднесена до реєстру зможе бути використана для відшкодування за різними механізмами компенсації, у тому числі міжнародними, доцільно закріпити можливість дублювання внесеної інформації або її найбільш важливої частини англійською мовою. </w:t>
      </w:r>
    </w:p>
    <w:p w:rsidR="0037165B" w:rsidRPr="0037165B" w:rsidRDefault="0037165B" w:rsidP="0037165B">
      <w:pPr>
        <w:suppressAutoHyphens w:val="0"/>
        <w:spacing w:line="240" w:lineRule="auto"/>
        <w:ind w:leftChars="0" w:left="0" w:firstLineChars="0" w:firstLine="709"/>
        <w:jc w:val="both"/>
        <w:textDirection w:val="lrTb"/>
        <w:textAlignment w:val="auto"/>
        <w:outlineLvl w:val="9"/>
        <w:rPr>
          <w:rFonts w:ascii="Times New Roman" w:hAnsi="Times New Roman" w:cs="Times New Roman"/>
          <w:b/>
          <w:color w:val="auto"/>
          <w:position w:val="0"/>
          <w:sz w:val="24"/>
          <w:szCs w:val="24"/>
          <w:lang w:val="uk"/>
        </w:rPr>
      </w:pPr>
      <w:bookmarkStart w:id="38" w:name="_shfnhsndz3gy" w:colFirst="0" w:colLast="0"/>
      <w:bookmarkEnd w:id="38"/>
    </w:p>
    <w:p w:rsidR="0037165B" w:rsidRPr="0037165B" w:rsidRDefault="0037165B" w:rsidP="0037165B">
      <w:pPr>
        <w:suppressAutoHyphens w:val="0"/>
        <w:ind w:leftChars="0" w:left="0" w:firstLineChars="0" w:firstLine="708"/>
        <w:textDirection w:val="lrTb"/>
        <w:textAlignment w:val="auto"/>
        <w:outlineLvl w:val="9"/>
        <w:rPr>
          <w:rFonts w:ascii="Times New Roman" w:hAnsi="Times New Roman" w:cs="Times New Roman"/>
          <w:b/>
          <w:color w:val="auto"/>
          <w:position w:val="0"/>
          <w:sz w:val="24"/>
          <w:szCs w:val="24"/>
          <w:lang w:val="uk"/>
        </w:rPr>
      </w:pPr>
      <w:r w:rsidRPr="0037165B">
        <w:rPr>
          <w:rFonts w:ascii="Times New Roman" w:hAnsi="Times New Roman" w:cs="Times New Roman"/>
          <w:b/>
          <w:color w:val="auto"/>
          <w:position w:val="0"/>
          <w:sz w:val="24"/>
          <w:szCs w:val="24"/>
          <w:lang w:val="uk"/>
        </w:rPr>
        <w:t>Висновок</w:t>
      </w:r>
    </w:p>
    <w:p w:rsidR="0037165B" w:rsidRPr="0037165B" w:rsidRDefault="0037165B" w:rsidP="0037165B">
      <w:pPr>
        <w:suppressAutoHyphens w:val="0"/>
        <w:ind w:leftChars="0" w:left="0" w:firstLineChars="0" w:firstLine="708"/>
        <w:textDirection w:val="lrTb"/>
        <w:textAlignment w:val="auto"/>
        <w:outlineLvl w:val="9"/>
        <w:rPr>
          <w:rFonts w:ascii="Times New Roman" w:hAnsi="Times New Roman" w:cs="Times New Roman"/>
          <w:b/>
          <w:color w:val="auto"/>
          <w:position w:val="0"/>
          <w:sz w:val="24"/>
          <w:szCs w:val="24"/>
          <w:lang w:val="uk"/>
        </w:rPr>
      </w:pPr>
    </w:p>
    <w:p w:rsidR="00A2405C" w:rsidRPr="0037165B" w:rsidRDefault="0037165B" w:rsidP="0037165B">
      <w:pPr>
        <w:suppressAutoHyphens w:val="0"/>
        <w:ind w:leftChars="0" w:left="0" w:firstLineChars="0" w:firstLine="708"/>
        <w:jc w:val="both"/>
        <w:textDirection w:val="lrTb"/>
        <w:textAlignment w:val="auto"/>
        <w:outlineLvl w:val="9"/>
        <w:rPr>
          <w:rFonts w:ascii="Times New Roman" w:hAnsi="Times New Roman" w:cs="Times New Roman"/>
          <w:b/>
          <w:i/>
          <w:color w:val="auto"/>
          <w:position w:val="0"/>
          <w:sz w:val="24"/>
          <w:szCs w:val="24"/>
          <w:lang w:val="uk"/>
        </w:rPr>
      </w:pPr>
      <w:r w:rsidRPr="0037165B">
        <w:rPr>
          <w:rFonts w:ascii="Times New Roman" w:hAnsi="Times New Roman" w:cs="Times New Roman"/>
          <w:b/>
          <w:i/>
          <w:color w:val="auto"/>
          <w:position w:val="0"/>
          <w:sz w:val="24"/>
          <w:szCs w:val="24"/>
          <w:lang w:val="uk"/>
        </w:rPr>
        <w:t>Інститут законодавчих ідей підтримує законопроєкт та готовий долучитись до його удосконалення, зокрема в частині вищевикладених питань.</w:t>
      </w:r>
      <w:bookmarkStart w:id="39" w:name="_GoBack"/>
      <w:bookmarkEnd w:id="39"/>
    </w:p>
    <w:sectPr w:rsidR="00A2405C" w:rsidRPr="0037165B">
      <w:headerReference w:type="first" r:id="rId7"/>
      <w:pgSz w:w="11906" w:h="16838"/>
      <w:pgMar w:top="1134" w:right="850" w:bottom="1134"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921" w:rsidRDefault="006B6921">
      <w:pPr>
        <w:spacing w:line="240" w:lineRule="auto"/>
        <w:ind w:left="0" w:hanging="2"/>
      </w:pPr>
      <w:r>
        <w:separator/>
      </w:r>
    </w:p>
  </w:endnote>
  <w:endnote w:type="continuationSeparator" w:id="0">
    <w:p w:rsidR="006B6921" w:rsidRDefault="006B692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ntiqua">
    <w:altName w:val="Courier New"/>
    <w:charset w:val="00"/>
    <w:family w:val="swiss"/>
    <w:pitch w:val="variable"/>
    <w:sig w:usb0="00000001"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921" w:rsidRDefault="006B6921">
      <w:pPr>
        <w:spacing w:line="240" w:lineRule="auto"/>
        <w:ind w:left="0" w:hanging="2"/>
      </w:pPr>
      <w:r>
        <w:separator/>
      </w:r>
    </w:p>
  </w:footnote>
  <w:footnote w:type="continuationSeparator" w:id="0">
    <w:p w:rsidR="006B6921" w:rsidRDefault="006B6921">
      <w:pPr>
        <w:spacing w:line="240" w:lineRule="auto"/>
        <w:ind w:left="0" w:hanging="2"/>
      </w:pPr>
      <w:r>
        <w:continuationSeparator/>
      </w:r>
    </w:p>
  </w:footnote>
  <w:footnote w:id="1">
    <w:p w:rsidR="0037165B" w:rsidRDefault="0037165B" w:rsidP="0037165B">
      <w:pPr>
        <w:spacing w:line="240" w:lineRule="auto"/>
        <w:ind w:left="0" w:hanging="2"/>
        <w:rPr>
          <w:rFonts w:ascii="Times New Roman" w:hAnsi="Times New Roman" w:cs="Times New Roman"/>
          <w:sz w:val="20"/>
        </w:rPr>
      </w:pPr>
      <w:r>
        <w:rPr>
          <w:vertAlign w:val="superscript"/>
        </w:rPr>
        <w:footnoteRef/>
      </w:r>
      <w:r>
        <w:rPr>
          <w:rFonts w:ascii="Times New Roman" w:hAnsi="Times New Roman" w:cs="Times New Roman"/>
          <w:sz w:val="20"/>
        </w:rPr>
        <w:t xml:space="preserve"> Резолюцією Комітету Міністрів Ради Європи CM/</w:t>
      </w:r>
      <w:proofErr w:type="spellStart"/>
      <w:r>
        <w:rPr>
          <w:rFonts w:ascii="Times New Roman" w:hAnsi="Times New Roman" w:cs="Times New Roman"/>
          <w:sz w:val="20"/>
        </w:rPr>
        <w:t>Res</w:t>
      </w:r>
      <w:proofErr w:type="spellEnd"/>
      <w:r>
        <w:rPr>
          <w:rFonts w:ascii="Times New Roman" w:hAnsi="Times New Roman" w:cs="Times New Roman"/>
          <w:sz w:val="20"/>
        </w:rPr>
        <w:t>(2023)3 закріплено основні засади функціонування цього Реєстру та його Статут</w:t>
      </w:r>
    </w:p>
  </w:footnote>
  <w:footnote w:id="2">
    <w:p w:rsidR="0037165B" w:rsidRDefault="0037165B" w:rsidP="0037165B">
      <w:pPr>
        <w:spacing w:line="240" w:lineRule="auto"/>
        <w:ind w:left="0" w:hanging="2"/>
        <w:rPr>
          <w:rFonts w:ascii="Times New Roman" w:hAnsi="Times New Roman" w:cs="Times New Roman"/>
          <w:sz w:val="20"/>
        </w:rPr>
      </w:pPr>
      <w:r>
        <w:rPr>
          <w:vertAlign w:val="superscript"/>
        </w:rPr>
        <w:footnoteRef/>
      </w:r>
      <w:r>
        <w:rPr>
          <w:rFonts w:ascii="Times New Roman" w:hAnsi="Times New Roman" w:cs="Times New Roman"/>
          <w:sz w:val="20"/>
        </w:rPr>
        <w:t xml:space="preserve"> </w:t>
      </w:r>
      <w:r>
        <w:rPr>
          <w:rFonts w:ascii="Times New Roman" w:hAnsi="Times New Roman" w:cs="Times New Roman"/>
          <w:sz w:val="20"/>
        </w:rPr>
        <w:t>https://minjust.gov.ua/files/general/2023/08/23/20230823170908-75.pdf</w:t>
      </w:r>
    </w:p>
  </w:footnote>
  <w:footnote w:id="3">
    <w:p w:rsidR="0037165B" w:rsidRDefault="0037165B" w:rsidP="0037165B">
      <w:pPr>
        <w:spacing w:line="240" w:lineRule="auto"/>
        <w:ind w:left="0" w:hanging="2"/>
        <w:jc w:val="both"/>
        <w:rPr>
          <w:rFonts w:ascii="Times New Roman" w:hAnsi="Times New Roman" w:cs="Times New Roman"/>
          <w:sz w:val="20"/>
        </w:rPr>
      </w:pPr>
      <w:r>
        <w:rPr>
          <w:vertAlign w:val="superscript"/>
        </w:rPr>
        <w:footnoteRef/>
      </w:r>
      <w:r>
        <w:rPr>
          <w:rFonts w:ascii="Times New Roman" w:hAnsi="Times New Roman" w:cs="Times New Roman"/>
          <w:sz w:val="20"/>
        </w:rPr>
        <w:t xml:space="preserve"> </w:t>
      </w:r>
      <w:r>
        <w:rPr>
          <w:rFonts w:ascii="Times New Roman" w:hAnsi="Times New Roman" w:cs="Times New Roman"/>
          <w:sz w:val="20"/>
        </w:rPr>
        <w:t>Всесвітня організація охорони здоров’я (ВООЗ) визначає здоров’я як «стан повного фізичного, душевного і соціального благополуччя, а не тільки як відсутність хвороб і фізичних дефектів»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05C" w:rsidRDefault="00A2405C">
    <w:pPr>
      <w:widowControl w:val="0"/>
      <w:ind w:left="0" w:hanging="2"/>
      <w:rPr>
        <w:sz w:val="20"/>
      </w:rPr>
    </w:pPr>
  </w:p>
  <w:tbl>
    <w:tblPr>
      <w:tblStyle w:val="afffffffffff0"/>
      <w:tblW w:w="9719"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2977"/>
      <w:gridCol w:w="3623"/>
      <w:gridCol w:w="3119"/>
    </w:tblGrid>
    <w:tr w:rsidR="00A2405C">
      <w:trPr>
        <w:trHeight w:val="2196"/>
        <w:jc w:val="center"/>
      </w:trPr>
      <w:tc>
        <w:tcPr>
          <w:tcW w:w="2977" w:type="dxa"/>
          <w:tcBorders>
            <w:top w:val="nil"/>
            <w:left w:val="nil"/>
            <w:bottom w:val="single" w:sz="4" w:space="0" w:color="000000"/>
            <w:right w:val="nil"/>
          </w:tcBorders>
          <w:tcMar>
            <w:top w:w="80" w:type="dxa"/>
            <w:left w:w="80" w:type="dxa"/>
            <w:bottom w:w="80" w:type="dxa"/>
            <w:right w:w="80" w:type="dxa"/>
          </w:tcMar>
        </w:tcPr>
        <w:p w:rsidR="00A2405C" w:rsidRDefault="005A50FD">
          <w:pPr>
            <w:spacing w:before="120"/>
            <w:ind w:left="0" w:hanging="2"/>
            <w:rPr>
              <w:rFonts w:ascii="Cambria" w:eastAsia="Cambria" w:hAnsi="Cambria" w:cs="Cambria"/>
              <w:color w:val="333399"/>
            </w:rPr>
          </w:pPr>
          <w:r>
            <w:rPr>
              <w:rFonts w:ascii="Cambria" w:eastAsia="Cambria" w:hAnsi="Cambria" w:cs="Cambria"/>
              <w:b/>
              <w:color w:val="333399"/>
            </w:rPr>
            <w:t xml:space="preserve">               </w:t>
          </w:r>
        </w:p>
        <w:p w:rsidR="00A2405C" w:rsidRDefault="005A50FD">
          <w:pPr>
            <w:spacing w:before="120"/>
            <w:ind w:left="0" w:hanging="2"/>
            <w:jc w:val="center"/>
            <w:rPr>
              <w:rFonts w:ascii="Times New Roman" w:hAnsi="Times New Roman" w:cs="Times New Roman"/>
              <w:color w:val="020000"/>
              <w:sz w:val="24"/>
              <w:szCs w:val="24"/>
            </w:rPr>
          </w:pPr>
          <w:r>
            <w:rPr>
              <w:rFonts w:ascii="Times New Roman" w:hAnsi="Times New Roman" w:cs="Times New Roman"/>
              <w:b/>
              <w:color w:val="020000"/>
              <w:sz w:val="24"/>
              <w:szCs w:val="24"/>
            </w:rPr>
            <w:t>Аналітичний центр «Інститут законодавчих ідей»</w:t>
          </w:r>
        </w:p>
        <w:p w:rsidR="00A2405C" w:rsidRDefault="005A50FD">
          <w:pPr>
            <w:ind w:left="0" w:hanging="2"/>
            <w:jc w:val="center"/>
            <w:rPr>
              <w:rFonts w:ascii="Times New Roman" w:hAnsi="Times New Roman" w:cs="Times New Roman"/>
              <w:sz w:val="24"/>
              <w:szCs w:val="24"/>
            </w:rPr>
          </w:pPr>
          <w:proofErr w:type="spellStart"/>
          <w:r>
            <w:rPr>
              <w:rFonts w:ascii="Times New Roman" w:hAnsi="Times New Roman" w:cs="Times New Roman"/>
              <w:sz w:val="24"/>
              <w:szCs w:val="24"/>
            </w:rPr>
            <w:t>office@izi.institute</w:t>
          </w:r>
          <w:proofErr w:type="spellEnd"/>
        </w:p>
        <w:p w:rsidR="00A2405C" w:rsidRDefault="005A50FD">
          <w:pPr>
            <w:ind w:left="0" w:hanging="2"/>
            <w:jc w:val="center"/>
            <w:rPr>
              <w:rFonts w:ascii="Times New Roman" w:hAnsi="Times New Roman" w:cs="Times New Roman"/>
              <w:sz w:val="24"/>
              <w:szCs w:val="24"/>
            </w:rPr>
          </w:pPr>
          <w:proofErr w:type="spellStart"/>
          <w:r>
            <w:rPr>
              <w:rFonts w:ascii="Times New Roman" w:hAnsi="Times New Roman" w:cs="Times New Roman"/>
              <w:sz w:val="24"/>
              <w:szCs w:val="24"/>
            </w:rPr>
            <w:t>izi.institute</w:t>
          </w:r>
          <w:proofErr w:type="spellEnd"/>
        </w:p>
        <w:p w:rsidR="00A2405C" w:rsidRDefault="005A50FD">
          <w:pPr>
            <w:ind w:left="0" w:hanging="2"/>
            <w:jc w:val="center"/>
          </w:pPr>
          <w:r>
            <w:rPr>
              <w:rFonts w:ascii="Times New Roman" w:hAnsi="Times New Roman" w:cs="Times New Roman"/>
              <w:sz w:val="24"/>
              <w:szCs w:val="24"/>
            </w:rPr>
            <w:t>+38 (063) 763-85-09</w:t>
          </w:r>
        </w:p>
      </w:tc>
      <w:tc>
        <w:tcPr>
          <w:tcW w:w="3623" w:type="dxa"/>
          <w:tcBorders>
            <w:top w:val="nil"/>
            <w:left w:val="nil"/>
            <w:bottom w:val="single" w:sz="4" w:space="0" w:color="000000"/>
            <w:right w:val="nil"/>
          </w:tcBorders>
          <w:tcMar>
            <w:top w:w="80" w:type="dxa"/>
            <w:left w:w="80" w:type="dxa"/>
            <w:bottom w:w="80" w:type="dxa"/>
            <w:right w:w="80" w:type="dxa"/>
          </w:tcMar>
        </w:tcPr>
        <w:p w:rsidR="00A2405C" w:rsidRDefault="005A50FD">
          <w:pPr>
            <w:ind w:left="0" w:hanging="2"/>
            <w:jc w:val="center"/>
          </w:pPr>
          <w:r>
            <w:rPr>
              <w:noProof/>
              <w:lang w:val="ru-RU"/>
            </w:rPr>
            <w:drawing>
              <wp:inline distT="0" distB="0" distL="0" distR="0">
                <wp:extent cx="2667000" cy="1685925"/>
                <wp:effectExtent l="0" t="0" r="0" b="0"/>
                <wp:docPr id="46" name="image1.png" descr="https://lh4.googleusercontent.com/nHCGlOQUBpGGAuU0DR6FkV93l3lZype4aJ8lutZUfixscQK4kpgo4sjsfJRnGCSz74YN14VuwED1DKM8J0kbj2PmK6rQbU-_ofQlJRM08iQMINiHIN7W2RI3pZhzQeR8irWCLJ-t"/>
                <wp:cNvGraphicFramePr/>
                <a:graphic xmlns:a="http://schemas.openxmlformats.org/drawingml/2006/main">
                  <a:graphicData uri="http://schemas.openxmlformats.org/drawingml/2006/picture">
                    <pic:pic xmlns:pic="http://schemas.openxmlformats.org/drawingml/2006/picture">
                      <pic:nvPicPr>
                        <pic:cNvPr id="0" name="image1.png" descr="https://lh4.googleusercontent.com/nHCGlOQUBpGGAuU0DR6FkV93l3lZype4aJ8lutZUfixscQK4kpgo4sjsfJRnGCSz74YN14VuwED1DKM8J0kbj2PmK6rQbU-_ofQlJRM08iQMINiHIN7W2RI3pZhzQeR8irWCLJ-t"/>
                        <pic:cNvPicPr preferRelativeResize="0"/>
                      </pic:nvPicPr>
                      <pic:blipFill>
                        <a:blip r:embed="rId1"/>
                        <a:srcRect/>
                        <a:stretch>
                          <a:fillRect/>
                        </a:stretch>
                      </pic:blipFill>
                      <pic:spPr>
                        <a:xfrm>
                          <a:off x="0" y="0"/>
                          <a:ext cx="2667000" cy="1685925"/>
                        </a:xfrm>
                        <a:prstGeom prst="rect">
                          <a:avLst/>
                        </a:prstGeom>
                        <a:ln/>
                      </pic:spPr>
                    </pic:pic>
                  </a:graphicData>
                </a:graphic>
              </wp:inline>
            </w:drawing>
          </w:r>
        </w:p>
      </w:tc>
      <w:tc>
        <w:tcPr>
          <w:tcW w:w="3119" w:type="dxa"/>
          <w:tcBorders>
            <w:top w:val="nil"/>
            <w:left w:val="nil"/>
            <w:bottom w:val="single" w:sz="4" w:space="0" w:color="000000"/>
            <w:right w:val="nil"/>
          </w:tcBorders>
          <w:tcMar>
            <w:top w:w="80" w:type="dxa"/>
            <w:left w:w="80" w:type="dxa"/>
            <w:bottom w:w="80" w:type="dxa"/>
            <w:right w:w="80" w:type="dxa"/>
          </w:tcMar>
        </w:tcPr>
        <w:p w:rsidR="00A2405C" w:rsidRDefault="00A2405C">
          <w:pPr>
            <w:spacing w:before="120"/>
            <w:ind w:left="0" w:hanging="2"/>
            <w:rPr>
              <w:rFonts w:ascii="Cambria" w:eastAsia="Cambria" w:hAnsi="Cambria" w:cs="Cambria"/>
              <w:color w:val="FF0000"/>
            </w:rPr>
          </w:pPr>
        </w:p>
        <w:p w:rsidR="00A2405C" w:rsidRDefault="005A50FD">
          <w:pPr>
            <w:spacing w:before="120"/>
            <w:ind w:left="0" w:hanging="2"/>
            <w:jc w:val="center"/>
            <w:rPr>
              <w:rFonts w:ascii="Times New Roman" w:hAnsi="Times New Roman" w:cs="Times New Roman"/>
              <w:color w:val="060606"/>
              <w:sz w:val="24"/>
              <w:szCs w:val="24"/>
            </w:rPr>
          </w:pPr>
          <w:proofErr w:type="spellStart"/>
          <w:r>
            <w:rPr>
              <w:rFonts w:ascii="Times New Roman" w:hAnsi="Times New Roman" w:cs="Times New Roman"/>
              <w:b/>
              <w:color w:val="060606"/>
              <w:sz w:val="24"/>
              <w:szCs w:val="24"/>
            </w:rPr>
            <w:t>Think</w:t>
          </w:r>
          <w:proofErr w:type="spellEnd"/>
          <w:r>
            <w:rPr>
              <w:rFonts w:ascii="Times New Roman" w:hAnsi="Times New Roman" w:cs="Times New Roman"/>
              <w:b/>
              <w:color w:val="060606"/>
              <w:sz w:val="24"/>
              <w:szCs w:val="24"/>
            </w:rPr>
            <w:t xml:space="preserve"> </w:t>
          </w:r>
          <w:proofErr w:type="spellStart"/>
          <w:r>
            <w:rPr>
              <w:rFonts w:ascii="Times New Roman" w:hAnsi="Times New Roman" w:cs="Times New Roman"/>
              <w:b/>
              <w:color w:val="060606"/>
              <w:sz w:val="24"/>
              <w:szCs w:val="24"/>
            </w:rPr>
            <w:t>tank</w:t>
          </w:r>
          <w:proofErr w:type="spellEnd"/>
        </w:p>
        <w:p w:rsidR="00A2405C" w:rsidRDefault="005A50FD">
          <w:pPr>
            <w:ind w:left="0" w:hanging="2"/>
            <w:jc w:val="center"/>
            <w:rPr>
              <w:rFonts w:ascii="Times New Roman" w:hAnsi="Times New Roman" w:cs="Times New Roman"/>
              <w:color w:val="060606"/>
              <w:sz w:val="24"/>
              <w:szCs w:val="24"/>
            </w:rPr>
          </w:pPr>
          <w:r>
            <w:rPr>
              <w:rFonts w:ascii="Times New Roman" w:hAnsi="Times New Roman" w:cs="Times New Roman"/>
              <w:b/>
              <w:color w:val="060606"/>
              <w:sz w:val="24"/>
              <w:szCs w:val="24"/>
            </w:rPr>
            <w:t>«</w:t>
          </w:r>
          <w:proofErr w:type="spellStart"/>
          <w:r>
            <w:rPr>
              <w:rFonts w:ascii="Times New Roman" w:hAnsi="Times New Roman" w:cs="Times New Roman"/>
              <w:b/>
              <w:color w:val="060606"/>
              <w:sz w:val="24"/>
              <w:szCs w:val="24"/>
            </w:rPr>
            <w:t>Institute</w:t>
          </w:r>
          <w:proofErr w:type="spellEnd"/>
          <w:r>
            <w:rPr>
              <w:rFonts w:ascii="Times New Roman" w:hAnsi="Times New Roman" w:cs="Times New Roman"/>
              <w:b/>
              <w:color w:val="060606"/>
              <w:sz w:val="24"/>
              <w:szCs w:val="24"/>
            </w:rPr>
            <w:t xml:space="preserve"> </w:t>
          </w:r>
          <w:proofErr w:type="spellStart"/>
          <w:r>
            <w:rPr>
              <w:rFonts w:ascii="Times New Roman" w:hAnsi="Times New Roman" w:cs="Times New Roman"/>
              <w:b/>
              <w:color w:val="060606"/>
              <w:sz w:val="24"/>
              <w:szCs w:val="24"/>
            </w:rPr>
            <w:t>of</w:t>
          </w:r>
          <w:proofErr w:type="spellEnd"/>
          <w:r>
            <w:rPr>
              <w:rFonts w:ascii="Times New Roman" w:hAnsi="Times New Roman" w:cs="Times New Roman"/>
              <w:b/>
              <w:color w:val="060606"/>
              <w:sz w:val="24"/>
              <w:szCs w:val="24"/>
            </w:rPr>
            <w:t xml:space="preserve"> </w:t>
          </w:r>
          <w:proofErr w:type="spellStart"/>
          <w:r>
            <w:rPr>
              <w:rFonts w:ascii="Times New Roman" w:hAnsi="Times New Roman" w:cs="Times New Roman"/>
              <w:b/>
              <w:color w:val="060606"/>
              <w:sz w:val="24"/>
              <w:szCs w:val="24"/>
            </w:rPr>
            <w:t>legislative</w:t>
          </w:r>
          <w:proofErr w:type="spellEnd"/>
          <w:r>
            <w:rPr>
              <w:rFonts w:ascii="Times New Roman" w:hAnsi="Times New Roman" w:cs="Times New Roman"/>
              <w:b/>
              <w:color w:val="060606"/>
              <w:sz w:val="24"/>
              <w:szCs w:val="24"/>
            </w:rPr>
            <w:t xml:space="preserve"> </w:t>
          </w:r>
          <w:proofErr w:type="spellStart"/>
          <w:r>
            <w:rPr>
              <w:rFonts w:ascii="Times New Roman" w:hAnsi="Times New Roman" w:cs="Times New Roman"/>
              <w:b/>
              <w:color w:val="060606"/>
              <w:sz w:val="24"/>
              <w:szCs w:val="24"/>
            </w:rPr>
            <w:t>ideas</w:t>
          </w:r>
          <w:proofErr w:type="spellEnd"/>
          <w:r>
            <w:rPr>
              <w:rFonts w:ascii="Times New Roman" w:hAnsi="Times New Roman" w:cs="Times New Roman"/>
              <w:b/>
              <w:color w:val="060606"/>
              <w:sz w:val="24"/>
              <w:szCs w:val="24"/>
            </w:rPr>
            <w:t>»</w:t>
          </w:r>
        </w:p>
        <w:p w:rsidR="00A2405C" w:rsidRDefault="005A50FD">
          <w:pPr>
            <w:ind w:left="0" w:hanging="2"/>
            <w:jc w:val="center"/>
            <w:rPr>
              <w:rFonts w:ascii="Times New Roman" w:hAnsi="Times New Roman" w:cs="Times New Roman"/>
              <w:sz w:val="24"/>
              <w:szCs w:val="24"/>
              <w:u w:val="single"/>
            </w:rPr>
          </w:pPr>
          <w:proofErr w:type="spellStart"/>
          <w:r>
            <w:rPr>
              <w:rFonts w:ascii="Times New Roman" w:hAnsi="Times New Roman" w:cs="Times New Roman"/>
              <w:sz w:val="24"/>
              <w:szCs w:val="24"/>
              <w:u w:val="single"/>
            </w:rPr>
            <w:t>office@izi.institute</w:t>
          </w:r>
          <w:proofErr w:type="spellEnd"/>
        </w:p>
        <w:p w:rsidR="00A2405C" w:rsidRDefault="005A50FD">
          <w:pPr>
            <w:ind w:left="0" w:hanging="2"/>
            <w:jc w:val="center"/>
            <w:rPr>
              <w:rFonts w:ascii="Times New Roman" w:hAnsi="Times New Roman" w:cs="Times New Roman"/>
              <w:sz w:val="24"/>
              <w:szCs w:val="24"/>
            </w:rPr>
          </w:pPr>
          <w:proofErr w:type="spellStart"/>
          <w:r>
            <w:rPr>
              <w:rFonts w:ascii="Times New Roman" w:hAnsi="Times New Roman" w:cs="Times New Roman"/>
              <w:sz w:val="24"/>
              <w:szCs w:val="24"/>
            </w:rPr>
            <w:t>izi.institute</w:t>
          </w:r>
          <w:proofErr w:type="spellEnd"/>
        </w:p>
        <w:p w:rsidR="00A2405C" w:rsidRDefault="005A50FD">
          <w:pPr>
            <w:ind w:left="0" w:hanging="2"/>
            <w:jc w:val="center"/>
          </w:pPr>
          <w:r>
            <w:rPr>
              <w:rFonts w:ascii="Times New Roman" w:hAnsi="Times New Roman" w:cs="Times New Roman"/>
              <w:sz w:val="24"/>
              <w:szCs w:val="24"/>
            </w:rPr>
            <w:t>+38 (063) 763-85-09</w:t>
          </w:r>
        </w:p>
      </w:tc>
    </w:tr>
  </w:tbl>
  <w:p w:rsidR="00A2405C" w:rsidRDefault="00A2405C">
    <w:pPr>
      <w:tabs>
        <w:tab w:val="center" w:pos="4677"/>
        <w:tab w:val="right" w:pos="9355"/>
      </w:tabs>
      <w:spacing w:line="240" w:lineRule="auto"/>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05C"/>
    <w:rsid w:val="001239E2"/>
    <w:rsid w:val="0037165B"/>
    <w:rsid w:val="00481D84"/>
    <w:rsid w:val="005A50FD"/>
    <w:rsid w:val="006B6921"/>
    <w:rsid w:val="00914EE4"/>
    <w:rsid w:val="00A2405C"/>
    <w:rsid w:val="00AA66BC"/>
    <w:rsid w:val="00F10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F78730-2A3B-443B-BD28-822846B6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uk-UA" w:eastAsia="ru-RU" w:bidi="ar-SA"/>
      </w:rPr>
    </w:rPrDefault>
    <w:pPrDefault>
      <w:pPr>
        <w:spacing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leftChars="-1" w:left="-1" w:hangingChars="1"/>
      <w:textDirection w:val="btLr"/>
      <w:textAlignment w:val="top"/>
      <w:outlineLvl w:val="0"/>
    </w:pPr>
    <w:rPr>
      <w:rFonts w:eastAsia="Times New Roman"/>
      <w:color w:val="000000"/>
      <w:position w:val="-1"/>
      <w:szCs w:val="20"/>
    </w:rPr>
  </w:style>
  <w:style w:type="paragraph" w:styleId="1">
    <w:name w:val="heading 1"/>
    <w:basedOn w:val="10"/>
    <w:next w:val="10"/>
    <w:link w:val="11"/>
    <w:uiPriority w:val="99"/>
    <w:qFormat/>
    <w:pPr>
      <w:keepNext/>
      <w:keepLines/>
      <w:spacing w:before="480" w:after="120"/>
      <w:outlineLvl w:val="0"/>
    </w:pPr>
    <w:rPr>
      <w:b/>
      <w:sz w:val="48"/>
      <w:szCs w:val="48"/>
    </w:rPr>
  </w:style>
  <w:style w:type="paragraph" w:styleId="2">
    <w:name w:val="heading 2"/>
    <w:basedOn w:val="10"/>
    <w:next w:val="10"/>
    <w:link w:val="20"/>
    <w:uiPriority w:val="99"/>
    <w:qFormat/>
    <w:pPr>
      <w:keepNext/>
      <w:suppressAutoHyphens/>
      <w:spacing w:before="240" w:after="60"/>
      <w:ind w:leftChars="-1" w:left="-1" w:hangingChars="1"/>
      <w:textDirection w:val="btLr"/>
      <w:textAlignment w:val="top"/>
      <w:outlineLvl w:val="1"/>
    </w:pPr>
    <w:rPr>
      <w:rFonts w:ascii="Cambria" w:hAnsi="Cambria" w:cs="Times New Roman"/>
      <w:b/>
      <w:bCs/>
      <w:i/>
      <w:iCs/>
      <w:color w:val="000000"/>
      <w:position w:val="-1"/>
      <w:sz w:val="28"/>
      <w:szCs w:val="28"/>
    </w:rPr>
  </w:style>
  <w:style w:type="paragraph" w:styleId="3">
    <w:name w:val="heading 3"/>
    <w:basedOn w:val="10"/>
    <w:next w:val="10"/>
    <w:link w:val="30"/>
    <w:uiPriority w:val="99"/>
    <w:qFormat/>
    <w:pPr>
      <w:suppressAutoHyphens/>
      <w:spacing w:before="100" w:beforeAutospacing="1" w:after="100" w:afterAutospacing="1"/>
      <w:ind w:leftChars="-1" w:left="-1" w:hangingChars="1"/>
      <w:textDirection w:val="btLr"/>
      <w:textAlignment w:val="top"/>
      <w:outlineLvl w:val="2"/>
    </w:pPr>
    <w:rPr>
      <w:rFonts w:ascii="Times New Roman" w:hAnsi="Times New Roman" w:cs="Times New Roman"/>
      <w:b/>
      <w:bCs/>
      <w:position w:val="-1"/>
      <w:sz w:val="27"/>
      <w:szCs w:val="27"/>
    </w:rPr>
  </w:style>
  <w:style w:type="paragraph" w:styleId="4">
    <w:name w:val="heading 4"/>
    <w:basedOn w:val="10"/>
    <w:next w:val="10"/>
    <w:link w:val="40"/>
    <w:uiPriority w:val="99"/>
    <w:qFormat/>
    <w:pPr>
      <w:keepNext/>
      <w:keepLines/>
      <w:spacing w:before="240" w:after="40"/>
      <w:outlineLvl w:val="3"/>
    </w:pPr>
    <w:rPr>
      <w:b/>
      <w:sz w:val="24"/>
      <w:szCs w:val="24"/>
    </w:rPr>
  </w:style>
  <w:style w:type="paragraph" w:styleId="5">
    <w:name w:val="heading 5"/>
    <w:basedOn w:val="10"/>
    <w:next w:val="10"/>
    <w:link w:val="50"/>
    <w:uiPriority w:val="99"/>
    <w:qFormat/>
    <w:pPr>
      <w:keepNext/>
      <w:keepLines/>
      <w:spacing w:before="220" w:after="40"/>
      <w:outlineLvl w:val="4"/>
    </w:pPr>
    <w:rPr>
      <w:b/>
      <w:sz w:val="22"/>
      <w:szCs w:val="22"/>
    </w:rPr>
  </w:style>
  <w:style w:type="paragraph" w:styleId="6">
    <w:name w:val="heading 6"/>
    <w:basedOn w:val="10"/>
    <w:next w:val="10"/>
    <w:link w:val="60"/>
    <w:uiPriority w:val="99"/>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0"/>
    <w:next w:val="10"/>
    <w:link w:val="a4"/>
    <w:uiPriority w:val="99"/>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character" w:customStyle="1" w:styleId="11">
    <w:name w:val="Заголовок 1 Знак"/>
    <w:basedOn w:val="a0"/>
    <w:link w:val="1"/>
    <w:uiPriority w:val="99"/>
    <w:locked/>
    <w:rPr>
      <w:rFonts w:ascii="Cambria" w:hAnsi="Cambria" w:cs="Times New Roman"/>
      <w:b/>
      <w:bCs/>
      <w:color w:val="000000"/>
      <w:kern w:val="32"/>
      <w:sz w:val="32"/>
      <w:szCs w:val="32"/>
    </w:rPr>
  </w:style>
  <w:style w:type="character" w:customStyle="1" w:styleId="20">
    <w:name w:val="Заголовок 2 Знак"/>
    <w:basedOn w:val="a0"/>
    <w:link w:val="2"/>
    <w:uiPriority w:val="99"/>
    <w:locked/>
    <w:rPr>
      <w:rFonts w:ascii="Cambria" w:hAnsi="Cambria" w:cs="Times New Roman"/>
      <w:b/>
      <w:i/>
      <w:color w:val="000000"/>
      <w:w w:val="100"/>
      <w:sz w:val="28"/>
      <w:effect w:val="none"/>
      <w:vertAlign w:val="baseline"/>
      <w:em w:val="none"/>
    </w:rPr>
  </w:style>
  <w:style w:type="character" w:customStyle="1" w:styleId="30">
    <w:name w:val="Заголовок 3 Знак"/>
    <w:basedOn w:val="a0"/>
    <w:link w:val="3"/>
    <w:uiPriority w:val="99"/>
    <w:locked/>
    <w:rPr>
      <w:rFonts w:ascii="Times New Roman" w:hAnsi="Times New Roman" w:cs="Times New Roman"/>
      <w:b/>
      <w:w w:val="100"/>
      <w:sz w:val="27"/>
      <w:effect w:val="none"/>
      <w:vertAlign w:val="baseline"/>
      <w:em w:val="none"/>
      <w:lang w:eastAsia="ru-RU"/>
    </w:rPr>
  </w:style>
  <w:style w:type="character" w:customStyle="1" w:styleId="40">
    <w:name w:val="Заголовок 4 Знак"/>
    <w:basedOn w:val="a0"/>
    <w:link w:val="4"/>
    <w:uiPriority w:val="99"/>
    <w:semiHidden/>
    <w:locked/>
    <w:rPr>
      <w:rFonts w:ascii="Calibri" w:hAnsi="Calibri" w:cs="Times New Roman"/>
      <w:b/>
      <w:bCs/>
      <w:color w:val="000000"/>
      <w:sz w:val="28"/>
      <w:szCs w:val="28"/>
    </w:rPr>
  </w:style>
  <w:style w:type="character" w:customStyle="1" w:styleId="50">
    <w:name w:val="Заголовок 5 Знак"/>
    <w:basedOn w:val="a0"/>
    <w:link w:val="5"/>
    <w:uiPriority w:val="99"/>
    <w:semiHidden/>
    <w:locked/>
    <w:rPr>
      <w:rFonts w:ascii="Calibri" w:hAnsi="Calibri" w:cs="Times New Roman"/>
      <w:b/>
      <w:bCs/>
      <w:i/>
      <w:iCs/>
      <w:color w:val="000000"/>
      <w:sz w:val="26"/>
      <w:szCs w:val="26"/>
    </w:rPr>
  </w:style>
  <w:style w:type="character" w:customStyle="1" w:styleId="60">
    <w:name w:val="Заголовок 6 Знак"/>
    <w:basedOn w:val="a0"/>
    <w:link w:val="6"/>
    <w:uiPriority w:val="99"/>
    <w:semiHidden/>
    <w:locked/>
    <w:rPr>
      <w:rFonts w:ascii="Calibri" w:hAnsi="Calibri" w:cs="Times New Roman"/>
      <w:b/>
      <w:bCs/>
      <w:color w:val="000000"/>
    </w:rPr>
  </w:style>
  <w:style w:type="paragraph" w:customStyle="1" w:styleId="12">
    <w:name w:val="Обычный1"/>
    <w:uiPriority w:val="99"/>
    <w:rsid w:val="0002022E"/>
  </w:style>
  <w:style w:type="character" w:customStyle="1" w:styleId="a4">
    <w:name w:val="Название Знак"/>
    <w:basedOn w:val="a0"/>
    <w:link w:val="a3"/>
    <w:uiPriority w:val="99"/>
    <w:locked/>
    <w:rPr>
      <w:rFonts w:ascii="Cambria" w:hAnsi="Cambria" w:cs="Times New Roman"/>
      <w:b/>
      <w:bCs/>
      <w:color w:val="000000"/>
      <w:kern w:val="28"/>
      <w:sz w:val="32"/>
      <w:szCs w:val="32"/>
    </w:rPr>
  </w:style>
  <w:style w:type="paragraph" w:customStyle="1" w:styleId="normal3">
    <w:name w:val="normal3"/>
    <w:uiPriority w:val="99"/>
    <w:rsid w:val="0002022E"/>
  </w:style>
  <w:style w:type="paragraph" w:customStyle="1" w:styleId="normal2">
    <w:name w:val="normal2"/>
    <w:uiPriority w:val="99"/>
    <w:rsid w:val="0002022E"/>
  </w:style>
  <w:style w:type="paragraph" w:customStyle="1" w:styleId="normal1">
    <w:name w:val="normal1"/>
    <w:uiPriority w:val="99"/>
    <w:rsid w:val="0002022E"/>
  </w:style>
  <w:style w:type="paragraph" w:customStyle="1" w:styleId="10">
    <w:name w:val="Обычный1"/>
    <w:uiPriority w:val="99"/>
    <w:rPr>
      <w:sz w:val="20"/>
      <w:szCs w:val="20"/>
    </w:rPr>
  </w:style>
  <w:style w:type="paragraph" w:customStyle="1" w:styleId="StyleProp">
    <w:name w:val="StyleProp"/>
    <w:basedOn w:val="a"/>
    <w:uiPriority w:val="99"/>
    <w:pPr>
      <w:spacing w:line="200" w:lineRule="atLeast"/>
      <w:ind w:firstLine="227"/>
      <w:jc w:val="both"/>
    </w:pPr>
    <w:rPr>
      <w:rFonts w:ascii="Times New Roman" w:eastAsia="Arial" w:hAnsi="Times New Roman" w:cs="Times New Roman"/>
      <w:color w:val="auto"/>
      <w:sz w:val="18"/>
    </w:rPr>
  </w:style>
  <w:style w:type="table" w:styleId="a5">
    <w:name w:val="Table Grid"/>
    <w:basedOn w:val="a1"/>
    <w:uiPriority w:val="99"/>
    <w:pPr>
      <w:suppressAutoHyphens/>
      <w:spacing w:line="1" w:lineRule="atLeast"/>
      <w:ind w:leftChars="-1" w:left="-1" w:hangingChars="1"/>
      <w:textDirection w:val="btLr"/>
      <w:textAlignment w:val="top"/>
      <w:outlineLvl w:val="0"/>
    </w:pPr>
    <w:rPr>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uiPriority w:val="99"/>
    <w:rPr>
      <w:w w:val="100"/>
      <w:effect w:val="none"/>
      <w:vertAlign w:val="baseline"/>
      <w:em w:val="none"/>
    </w:rPr>
  </w:style>
  <w:style w:type="character" w:customStyle="1" w:styleId="apple-converted-space">
    <w:name w:val="apple-converted-space"/>
    <w:basedOn w:val="a0"/>
    <w:uiPriority w:val="99"/>
    <w:rPr>
      <w:rFonts w:cs="Times New Roman"/>
      <w:w w:val="100"/>
      <w:effect w:val="none"/>
      <w:vertAlign w:val="baseline"/>
      <w:em w:val="none"/>
    </w:rPr>
  </w:style>
  <w:style w:type="paragraph" w:customStyle="1" w:styleId="StyleZakonu">
    <w:name w:val="StyleZakonu"/>
    <w:basedOn w:val="a"/>
    <w:uiPriority w:val="99"/>
    <w:pPr>
      <w:spacing w:after="60" w:line="220" w:lineRule="atLeast"/>
      <w:ind w:firstLine="284"/>
      <w:jc w:val="both"/>
    </w:pPr>
    <w:rPr>
      <w:rFonts w:ascii="Times New Roman" w:eastAsia="Arial" w:hAnsi="Times New Roman" w:cs="Times New Roman"/>
      <w:color w:val="auto"/>
      <w:sz w:val="20"/>
    </w:rPr>
  </w:style>
  <w:style w:type="character" w:customStyle="1" w:styleId="StyleZakonu0">
    <w:name w:val="StyleZakonu Знак"/>
    <w:uiPriority w:val="99"/>
    <w:rPr>
      <w:rFonts w:ascii="Times New Roman" w:hAnsi="Times New Roman"/>
      <w:w w:val="100"/>
      <w:effect w:val="none"/>
      <w:vertAlign w:val="baseline"/>
      <w:em w:val="none"/>
      <w:lang w:eastAsia="ru-RU"/>
    </w:rPr>
  </w:style>
  <w:style w:type="character" w:styleId="a6">
    <w:name w:val="Hyperlink"/>
    <w:basedOn w:val="a0"/>
    <w:uiPriority w:val="99"/>
    <w:rPr>
      <w:rFonts w:cs="Times New Roman"/>
      <w:color w:val="0000FF"/>
      <w:w w:val="100"/>
      <w:u w:val="single"/>
      <w:effect w:val="none"/>
      <w:vertAlign w:val="baseline"/>
      <w:em w:val="none"/>
    </w:rPr>
  </w:style>
  <w:style w:type="paragraph" w:customStyle="1" w:styleId="rvps2">
    <w:name w:val="rvps2"/>
    <w:basedOn w:val="a"/>
    <w:uiPriority w:val="99"/>
    <w:pPr>
      <w:spacing w:before="100" w:after="100" w:line="240" w:lineRule="auto"/>
    </w:pPr>
    <w:rPr>
      <w:rFonts w:ascii="Times New Roman" w:eastAsia="Arial" w:hAnsi="Times New Roman" w:cs="Times New Roman"/>
      <w:color w:val="auto"/>
      <w:kern w:val="1"/>
      <w:sz w:val="24"/>
      <w:szCs w:val="24"/>
      <w:lang w:eastAsia="ar-SA"/>
    </w:rPr>
  </w:style>
  <w:style w:type="paragraph" w:styleId="a7">
    <w:name w:val="Body Text"/>
    <w:basedOn w:val="a"/>
    <w:link w:val="a8"/>
    <w:uiPriority w:val="99"/>
    <w:pPr>
      <w:widowControl w:val="0"/>
      <w:suppressAutoHyphens w:val="0"/>
      <w:spacing w:after="120" w:line="240" w:lineRule="auto"/>
    </w:pPr>
    <w:rPr>
      <w:rFonts w:ascii="Times New Roman" w:eastAsia="SimSun" w:hAnsi="Times New Roman" w:cs="Mangal"/>
      <w:color w:val="auto"/>
      <w:kern w:val="1"/>
      <w:sz w:val="24"/>
      <w:szCs w:val="24"/>
      <w:lang w:eastAsia="hi-IN" w:bidi="hi-IN"/>
    </w:rPr>
  </w:style>
  <w:style w:type="character" w:customStyle="1" w:styleId="a8">
    <w:name w:val="Основной текст Знак"/>
    <w:basedOn w:val="a0"/>
    <w:link w:val="a7"/>
    <w:uiPriority w:val="99"/>
    <w:locked/>
    <w:rPr>
      <w:rFonts w:ascii="Times New Roman" w:eastAsia="SimSun" w:hAnsi="Times New Roman" w:cs="Times New Roman"/>
      <w:w w:val="100"/>
      <w:kern w:val="1"/>
      <w:sz w:val="24"/>
      <w:effect w:val="none"/>
      <w:vertAlign w:val="baseline"/>
      <w:em w:val="none"/>
      <w:lang w:eastAsia="hi-IN" w:bidi="hi-IN"/>
    </w:rPr>
  </w:style>
  <w:style w:type="paragraph" w:styleId="a9">
    <w:name w:val="Normal (Web)"/>
    <w:basedOn w:val="a"/>
    <w:uiPriority w:val="99"/>
    <w:pPr>
      <w:spacing w:before="100" w:beforeAutospacing="1" w:after="100" w:afterAutospacing="1" w:line="240" w:lineRule="auto"/>
    </w:pPr>
    <w:rPr>
      <w:rFonts w:ascii="Times New Roman" w:eastAsia="Arial" w:hAnsi="Times New Roman" w:cs="Times New Roman"/>
      <w:color w:val="auto"/>
      <w:sz w:val="24"/>
      <w:szCs w:val="24"/>
    </w:rPr>
  </w:style>
  <w:style w:type="paragraph" w:customStyle="1" w:styleId="13">
    <w:name w:val="Кольоровий список — акцент 1"/>
    <w:basedOn w:val="a"/>
    <w:uiPriority w:val="99"/>
    <w:pPr>
      <w:spacing w:line="240" w:lineRule="auto"/>
      <w:ind w:left="720"/>
    </w:pPr>
    <w:rPr>
      <w:rFonts w:ascii="Times New Roman" w:hAnsi="Times New Roman" w:cs="Times New Roman"/>
      <w:color w:val="auto"/>
      <w:sz w:val="24"/>
      <w:szCs w:val="24"/>
      <w:lang w:val="ru-RU"/>
    </w:rPr>
  </w:style>
  <w:style w:type="paragraph" w:customStyle="1" w:styleId="aa">
    <w:name w:val="Нормальний текст"/>
    <w:basedOn w:val="a"/>
    <w:uiPriority w:val="99"/>
    <w:pPr>
      <w:spacing w:before="120" w:line="240" w:lineRule="auto"/>
      <w:ind w:firstLine="567"/>
      <w:jc w:val="both"/>
    </w:pPr>
    <w:rPr>
      <w:rFonts w:ascii="Antiqua" w:eastAsia="Arial" w:hAnsi="Antiqua" w:cs="Times New Roman"/>
      <w:color w:val="auto"/>
      <w:sz w:val="26"/>
    </w:rPr>
  </w:style>
  <w:style w:type="paragraph" w:customStyle="1" w:styleId="ParagraphStyle">
    <w:name w:val="Paragraph Style"/>
    <w:uiPriority w:val="99"/>
    <w:pPr>
      <w:suppressAutoHyphens/>
      <w:autoSpaceDE w:val="0"/>
      <w:autoSpaceDN w:val="0"/>
      <w:adjustRightInd w:val="0"/>
      <w:spacing w:line="1" w:lineRule="atLeast"/>
      <w:ind w:leftChars="-1" w:left="-1" w:hangingChars="1"/>
      <w:textDirection w:val="btLr"/>
      <w:textAlignment w:val="top"/>
      <w:outlineLvl w:val="0"/>
    </w:pPr>
    <w:rPr>
      <w:rFonts w:ascii="Courier New" w:hAnsi="Courier New" w:cs="Courier New"/>
      <w:position w:val="-1"/>
      <w:sz w:val="24"/>
      <w:szCs w:val="24"/>
      <w:lang w:val="ru-RU"/>
    </w:rPr>
  </w:style>
  <w:style w:type="character" w:customStyle="1" w:styleId="StyleProp0">
    <w:name w:val="StyleProp Знак"/>
    <w:uiPriority w:val="99"/>
    <w:rPr>
      <w:rFonts w:ascii="Times New Roman" w:hAnsi="Times New Roman"/>
      <w:w w:val="100"/>
      <w:sz w:val="18"/>
      <w:effect w:val="none"/>
      <w:vertAlign w:val="baseline"/>
      <w:em w:val="none"/>
      <w:lang w:eastAsia="ru-RU"/>
    </w:rPr>
  </w:style>
  <w:style w:type="character" w:customStyle="1" w:styleId="st42">
    <w:name w:val="st42"/>
    <w:uiPriority w:val="99"/>
    <w:rPr>
      <w:rFonts w:ascii="Times New Roman" w:hAnsi="Times New Roman"/>
      <w:color w:val="000000"/>
      <w:w w:val="100"/>
      <w:effect w:val="none"/>
      <w:vertAlign w:val="baseline"/>
      <w:em w:val="none"/>
    </w:rPr>
  </w:style>
  <w:style w:type="character" w:customStyle="1" w:styleId="rvts9">
    <w:name w:val="rvts9"/>
    <w:uiPriority w:val="99"/>
    <w:rPr>
      <w:w w:val="100"/>
      <w:effect w:val="none"/>
      <w:vertAlign w:val="baseline"/>
      <w:em w:val="none"/>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Arial" w:hAnsi="Courier New" w:cs="Times New Roman"/>
      <w:color w:val="auto"/>
      <w:sz w:val="20"/>
    </w:rPr>
  </w:style>
  <w:style w:type="character" w:customStyle="1" w:styleId="HTML0">
    <w:name w:val="Стандартный HTML Знак"/>
    <w:basedOn w:val="a0"/>
    <w:link w:val="HTML"/>
    <w:uiPriority w:val="99"/>
    <w:locked/>
    <w:rPr>
      <w:rFonts w:ascii="Courier New" w:hAnsi="Courier New" w:cs="Times New Roman"/>
      <w:w w:val="100"/>
      <w:effect w:val="none"/>
      <w:vertAlign w:val="baseline"/>
      <w:em w:val="none"/>
    </w:rPr>
  </w:style>
  <w:style w:type="character" w:customStyle="1" w:styleId="21">
    <w:name w:val="Заголовок №2_"/>
    <w:uiPriority w:val="99"/>
    <w:rPr>
      <w:rFonts w:ascii="Times New Roman" w:hAnsi="Times New Roman"/>
      <w:b/>
      <w:w w:val="100"/>
      <w:sz w:val="28"/>
      <w:effect w:val="none"/>
      <w:shd w:val="clear" w:color="auto" w:fill="FFFFFF"/>
      <w:vertAlign w:val="baseline"/>
      <w:em w:val="none"/>
    </w:rPr>
  </w:style>
  <w:style w:type="paragraph" w:customStyle="1" w:styleId="22">
    <w:name w:val="Заголовок №2"/>
    <w:basedOn w:val="a"/>
    <w:uiPriority w:val="99"/>
    <w:pPr>
      <w:widowControl w:val="0"/>
      <w:shd w:val="clear" w:color="auto" w:fill="FFFFFF"/>
      <w:spacing w:before="240" w:after="360" w:line="240" w:lineRule="atLeast"/>
      <w:ind w:firstLine="940"/>
      <w:jc w:val="both"/>
      <w:outlineLvl w:val="1"/>
    </w:pPr>
    <w:rPr>
      <w:rFonts w:ascii="Times New Roman" w:hAnsi="Times New Roman" w:cs="Times New Roman"/>
      <w:b/>
      <w:bCs/>
      <w:color w:val="auto"/>
      <w:sz w:val="28"/>
      <w:szCs w:val="28"/>
    </w:rPr>
  </w:style>
  <w:style w:type="paragraph" w:styleId="23">
    <w:name w:val="Body Text 2"/>
    <w:basedOn w:val="a"/>
    <w:link w:val="24"/>
    <w:uiPriority w:val="99"/>
    <w:pPr>
      <w:spacing w:after="120" w:line="480" w:lineRule="auto"/>
    </w:pPr>
    <w:rPr>
      <w:rFonts w:cs="Times New Roman"/>
    </w:rPr>
  </w:style>
  <w:style w:type="character" w:customStyle="1" w:styleId="24">
    <w:name w:val="Основной текст 2 Знак"/>
    <w:basedOn w:val="a0"/>
    <w:link w:val="23"/>
    <w:uiPriority w:val="99"/>
    <w:locked/>
    <w:rPr>
      <w:rFonts w:ascii="Arial" w:hAnsi="Arial" w:cs="Times New Roman"/>
      <w:color w:val="000000"/>
      <w:w w:val="100"/>
      <w:sz w:val="22"/>
      <w:effect w:val="none"/>
      <w:vertAlign w:val="baseline"/>
      <w:em w:val="none"/>
    </w:rPr>
  </w:style>
  <w:style w:type="character" w:customStyle="1" w:styleId="FontStyle">
    <w:name w:val="Font Style"/>
    <w:uiPriority w:val="99"/>
    <w:rPr>
      <w:color w:val="000000"/>
      <w:w w:val="100"/>
      <w:sz w:val="20"/>
      <w:effect w:val="none"/>
      <w:vertAlign w:val="baseline"/>
      <w:em w:val="none"/>
    </w:rPr>
  </w:style>
  <w:style w:type="paragraph" w:styleId="ab">
    <w:name w:val="List Paragraph"/>
    <w:basedOn w:val="a"/>
    <w:uiPriority w:val="99"/>
    <w:qFormat/>
    <w:pPr>
      <w:ind w:left="708"/>
    </w:pPr>
  </w:style>
  <w:style w:type="paragraph" w:customStyle="1" w:styleId="StyleProp2">
    <w:name w:val="StyleProp2"/>
    <w:basedOn w:val="a"/>
    <w:uiPriority w:val="99"/>
    <w:pPr>
      <w:spacing w:after="120" w:line="200" w:lineRule="atLeast"/>
      <w:ind w:firstLine="227"/>
      <w:jc w:val="both"/>
    </w:pPr>
    <w:rPr>
      <w:rFonts w:ascii="Times New Roman" w:eastAsia="Arial" w:hAnsi="Times New Roman" w:cs="Times New Roman"/>
      <w:color w:val="auto"/>
      <w:sz w:val="18"/>
    </w:rPr>
  </w:style>
  <w:style w:type="paragraph" w:styleId="ac">
    <w:name w:val="Balloon Text"/>
    <w:basedOn w:val="a"/>
    <w:link w:val="ad"/>
    <w:uiPriority w:val="99"/>
    <w:pPr>
      <w:spacing w:line="240" w:lineRule="auto"/>
    </w:pPr>
    <w:rPr>
      <w:rFonts w:ascii="Tahoma" w:hAnsi="Tahoma" w:cs="Tahoma"/>
      <w:sz w:val="16"/>
      <w:szCs w:val="16"/>
    </w:rPr>
  </w:style>
  <w:style w:type="character" w:customStyle="1" w:styleId="ad">
    <w:name w:val="Текст выноски Знак"/>
    <w:basedOn w:val="a0"/>
    <w:link w:val="ac"/>
    <w:uiPriority w:val="99"/>
    <w:locked/>
    <w:rPr>
      <w:rFonts w:ascii="Tahoma" w:hAnsi="Tahoma" w:cs="Tahoma"/>
      <w:color w:val="000000"/>
      <w:w w:val="100"/>
      <w:sz w:val="16"/>
      <w:szCs w:val="16"/>
      <w:effect w:val="none"/>
      <w:vertAlign w:val="baseline"/>
      <w:em w:val="none"/>
      <w:lang w:val="uk-UA" w:eastAsia="uk-UA"/>
    </w:rPr>
  </w:style>
  <w:style w:type="paragraph" w:styleId="ae">
    <w:name w:val="header"/>
    <w:basedOn w:val="a"/>
    <w:link w:val="af"/>
    <w:uiPriority w:val="99"/>
    <w:pPr>
      <w:tabs>
        <w:tab w:val="center" w:pos="4677"/>
        <w:tab w:val="right" w:pos="9355"/>
      </w:tabs>
      <w:spacing w:line="240" w:lineRule="auto"/>
    </w:pPr>
  </w:style>
  <w:style w:type="character" w:customStyle="1" w:styleId="af">
    <w:name w:val="Верхний колонтитул Знак"/>
    <w:basedOn w:val="a0"/>
    <w:link w:val="ae"/>
    <w:uiPriority w:val="99"/>
    <w:locked/>
    <w:rPr>
      <w:rFonts w:ascii="Arial" w:hAnsi="Arial" w:cs="Arial"/>
      <w:color w:val="000000"/>
      <w:w w:val="100"/>
      <w:sz w:val="22"/>
      <w:effect w:val="none"/>
      <w:vertAlign w:val="baseline"/>
      <w:em w:val="none"/>
      <w:lang w:val="uk-UA" w:eastAsia="uk-UA"/>
    </w:rPr>
  </w:style>
  <w:style w:type="paragraph" w:styleId="af0">
    <w:name w:val="footer"/>
    <w:basedOn w:val="a"/>
    <w:link w:val="af1"/>
    <w:uiPriority w:val="99"/>
    <w:pPr>
      <w:tabs>
        <w:tab w:val="center" w:pos="4677"/>
        <w:tab w:val="right" w:pos="9355"/>
      </w:tabs>
      <w:spacing w:line="240" w:lineRule="auto"/>
    </w:pPr>
  </w:style>
  <w:style w:type="character" w:customStyle="1" w:styleId="af1">
    <w:name w:val="Нижний колонтитул Знак"/>
    <w:basedOn w:val="a0"/>
    <w:link w:val="af0"/>
    <w:uiPriority w:val="99"/>
    <w:locked/>
    <w:rPr>
      <w:rFonts w:ascii="Arial" w:hAnsi="Arial" w:cs="Arial"/>
      <w:color w:val="000000"/>
      <w:w w:val="100"/>
      <w:sz w:val="22"/>
      <w:effect w:val="none"/>
      <w:vertAlign w:val="baseline"/>
      <w:em w:val="none"/>
      <w:lang w:val="uk-UA" w:eastAsia="uk-UA"/>
    </w:rPr>
  </w:style>
  <w:style w:type="paragraph" w:styleId="af2">
    <w:name w:val="footnote text"/>
    <w:basedOn w:val="a"/>
    <w:link w:val="af3"/>
    <w:uiPriority w:val="99"/>
    <w:pPr>
      <w:spacing w:line="240" w:lineRule="auto"/>
    </w:pPr>
    <w:rPr>
      <w:sz w:val="20"/>
    </w:rPr>
  </w:style>
  <w:style w:type="character" w:customStyle="1" w:styleId="af3">
    <w:name w:val="Текст сноски Знак"/>
    <w:basedOn w:val="a0"/>
    <w:link w:val="af2"/>
    <w:uiPriority w:val="99"/>
    <w:locked/>
    <w:rPr>
      <w:rFonts w:ascii="Arial" w:hAnsi="Arial" w:cs="Arial"/>
      <w:color w:val="000000"/>
      <w:w w:val="100"/>
      <w:effect w:val="none"/>
      <w:vertAlign w:val="baseline"/>
      <w:em w:val="none"/>
      <w:lang w:val="uk-UA" w:eastAsia="uk-UA"/>
    </w:rPr>
  </w:style>
  <w:style w:type="character" w:styleId="af4">
    <w:name w:val="footnote reference"/>
    <w:basedOn w:val="a0"/>
    <w:uiPriority w:val="99"/>
    <w:rPr>
      <w:rFonts w:cs="Times New Roman"/>
      <w:w w:val="100"/>
      <w:effect w:val="none"/>
      <w:vertAlign w:val="superscript"/>
      <w:em w:val="none"/>
    </w:rPr>
  </w:style>
  <w:style w:type="paragraph" w:customStyle="1" w:styleId="Standard">
    <w:name w:val="Standard"/>
    <w:uiPriority w:val="99"/>
    <w:pPr>
      <w:autoSpaceDN w:val="0"/>
      <w:ind w:leftChars="-1" w:left="-1" w:hangingChars="1"/>
      <w:textDirection w:val="btLr"/>
      <w:textAlignment w:val="baseline"/>
      <w:outlineLvl w:val="0"/>
    </w:pPr>
    <w:rPr>
      <w:rFonts w:eastAsia="Times New Roman"/>
      <w:color w:val="000000"/>
      <w:kern w:val="3"/>
      <w:position w:val="-1"/>
      <w:szCs w:val="20"/>
    </w:rPr>
  </w:style>
  <w:style w:type="paragraph" w:customStyle="1" w:styleId="Textbody">
    <w:name w:val="Text body"/>
    <w:basedOn w:val="Standard"/>
    <w:uiPriority w:val="99"/>
    <w:pPr>
      <w:widowControl w:val="0"/>
      <w:spacing w:after="120" w:line="240" w:lineRule="auto"/>
    </w:pPr>
    <w:rPr>
      <w:rFonts w:ascii="Times New Roman" w:eastAsia="SimSun" w:hAnsi="Times New Roman" w:cs="Mangal"/>
      <w:color w:val="00000A"/>
      <w:sz w:val="24"/>
      <w:szCs w:val="24"/>
      <w:lang w:eastAsia="hi-IN" w:bidi="hi-IN"/>
    </w:rPr>
  </w:style>
  <w:style w:type="paragraph" w:customStyle="1" w:styleId="14">
    <w:name w:val="Без интервала1"/>
    <w:uiPriority w:val="99"/>
    <w:pPr>
      <w:suppressAutoHyphens/>
      <w:spacing w:line="1" w:lineRule="atLeast"/>
      <w:ind w:leftChars="-1" w:left="-1" w:hangingChars="1"/>
      <w:textDirection w:val="btLr"/>
      <w:textAlignment w:val="top"/>
      <w:outlineLvl w:val="0"/>
    </w:pPr>
    <w:rPr>
      <w:rFonts w:ascii="Cambria" w:eastAsia="Times New Roman" w:hAnsi="Cambria"/>
      <w:position w:val="-1"/>
      <w:sz w:val="24"/>
      <w:szCs w:val="24"/>
      <w:lang w:val="ru-RU" w:eastAsia="en-US"/>
    </w:rPr>
  </w:style>
  <w:style w:type="paragraph" w:customStyle="1" w:styleId="3f3f3f3f3f3f3f3f3f3f3f3f3f3f3f3f3f3f3f3f3f3f3f3f3f3f3f3f3f3f3f3f3f3f3f3f3f3f3f3f3f3f3f3fHTML">
    <w:name w:val="С3f3f3f3fт3f3f3f3fа3f3f3f3fн3f3f3f3fд3f3f3f3fа3f3f3f3fр3f3f3f3fт3f3f3f3fн3f3f3f3fи3f3f3f3fй3f3f3f3f HTML"/>
    <w:basedOn w:val="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line="240" w:lineRule="auto"/>
    </w:pPr>
    <w:rPr>
      <w:rFonts w:ascii="Courier New" w:hAnsi="Liberation Serif" w:cs="Courier New"/>
      <w:kern w:val="1"/>
      <w:sz w:val="24"/>
      <w:szCs w:val="24"/>
      <w:lang w:val="ru-RU"/>
    </w:rPr>
  </w:style>
  <w:style w:type="character" w:customStyle="1" w:styleId="25">
    <w:name w:val="Основний текст (2)_"/>
    <w:uiPriority w:val="99"/>
    <w:rPr>
      <w:spacing w:val="-10"/>
      <w:w w:val="100"/>
      <w:effect w:val="none"/>
      <w:shd w:val="clear" w:color="auto" w:fill="FFFFFF"/>
      <w:vertAlign w:val="baseline"/>
      <w:em w:val="none"/>
    </w:rPr>
  </w:style>
  <w:style w:type="paragraph" w:customStyle="1" w:styleId="26">
    <w:name w:val="Основний текст (2)"/>
    <w:basedOn w:val="a"/>
    <w:uiPriority w:val="99"/>
    <w:pPr>
      <w:widowControl w:val="0"/>
      <w:shd w:val="clear" w:color="auto" w:fill="FFFFFF"/>
      <w:spacing w:before="360" w:after="360" w:line="240" w:lineRule="atLeast"/>
      <w:ind w:hanging="480"/>
      <w:jc w:val="both"/>
    </w:pPr>
    <w:rPr>
      <w:rFonts w:ascii="Calibri" w:hAnsi="Calibri" w:cs="Times New Roman"/>
      <w:color w:val="auto"/>
      <w:spacing w:val="-10"/>
      <w:sz w:val="20"/>
    </w:rPr>
  </w:style>
  <w:style w:type="paragraph" w:customStyle="1" w:styleId="15">
    <w:name w:val="Абзац списка1"/>
    <w:basedOn w:val="a"/>
    <w:uiPriority w:val="99"/>
    <w:pPr>
      <w:spacing w:after="160" w:line="259" w:lineRule="auto"/>
      <w:ind w:left="720"/>
    </w:pPr>
    <w:rPr>
      <w:rFonts w:ascii="Calibri" w:eastAsia="Arial" w:hAnsi="Calibri" w:cs="Times New Roman"/>
      <w:color w:val="auto"/>
      <w:szCs w:val="22"/>
      <w:lang w:eastAsia="en-US"/>
    </w:rPr>
  </w:style>
  <w:style w:type="character" w:customStyle="1" w:styleId="s3">
    <w:name w:val="s3"/>
    <w:uiPriority w:val="99"/>
    <w:rPr>
      <w:w w:val="100"/>
      <w:effect w:val="none"/>
      <w:vertAlign w:val="baseline"/>
      <w:em w:val="none"/>
    </w:rPr>
  </w:style>
  <w:style w:type="paragraph" w:styleId="af5">
    <w:name w:val="Body Text Indent"/>
    <w:basedOn w:val="a"/>
    <w:link w:val="af6"/>
    <w:uiPriority w:val="99"/>
    <w:pPr>
      <w:spacing w:after="120"/>
      <w:ind w:left="283"/>
    </w:pPr>
  </w:style>
  <w:style w:type="character" w:customStyle="1" w:styleId="af6">
    <w:name w:val="Основной текст с отступом Знак"/>
    <w:basedOn w:val="a0"/>
    <w:link w:val="af5"/>
    <w:uiPriority w:val="99"/>
    <w:locked/>
    <w:rPr>
      <w:rFonts w:ascii="Arial" w:hAnsi="Arial" w:cs="Arial"/>
      <w:color w:val="000000"/>
      <w:w w:val="100"/>
      <w:sz w:val="22"/>
      <w:effect w:val="none"/>
      <w:vertAlign w:val="baseline"/>
      <w:em w:val="none"/>
      <w:lang w:val="uk-UA" w:eastAsia="uk-UA"/>
    </w:rPr>
  </w:style>
  <w:style w:type="paragraph" w:customStyle="1" w:styleId="110">
    <w:name w:val="Обычный11"/>
    <w:uiPriority w:val="99"/>
    <w:pPr>
      <w:suppressAutoHyphens/>
      <w:spacing w:after="200"/>
      <w:ind w:leftChars="-1" w:left="-1" w:hangingChars="1"/>
      <w:textDirection w:val="btLr"/>
      <w:textAlignment w:val="top"/>
      <w:outlineLvl w:val="0"/>
    </w:pPr>
    <w:rPr>
      <w:position w:val="-1"/>
    </w:rPr>
  </w:style>
  <w:style w:type="paragraph" w:styleId="af7">
    <w:name w:val="endnote text"/>
    <w:basedOn w:val="a"/>
    <w:link w:val="af8"/>
    <w:uiPriority w:val="99"/>
    <w:pPr>
      <w:spacing w:line="240" w:lineRule="auto"/>
    </w:pPr>
    <w:rPr>
      <w:rFonts w:ascii="Calibri" w:hAnsi="Calibri" w:cs="Times New Roman"/>
      <w:color w:val="auto"/>
      <w:sz w:val="20"/>
      <w:lang w:val="ru-RU" w:eastAsia="en-US"/>
    </w:rPr>
  </w:style>
  <w:style w:type="character" w:customStyle="1" w:styleId="af8">
    <w:name w:val="Текст концевой сноски Знак"/>
    <w:basedOn w:val="a0"/>
    <w:link w:val="af7"/>
    <w:uiPriority w:val="99"/>
    <w:locked/>
    <w:rPr>
      <w:rFonts w:cs="Times New Roman"/>
      <w:w w:val="100"/>
      <w:effect w:val="none"/>
      <w:vertAlign w:val="baseline"/>
      <w:em w:val="none"/>
      <w:lang w:eastAsia="en-US"/>
    </w:rPr>
  </w:style>
  <w:style w:type="character" w:styleId="af9">
    <w:name w:val="endnote reference"/>
    <w:basedOn w:val="a0"/>
    <w:uiPriority w:val="99"/>
    <w:rPr>
      <w:rFonts w:cs="Times New Roman"/>
      <w:w w:val="100"/>
      <w:effect w:val="none"/>
      <w:vertAlign w:val="superscript"/>
      <w:em w:val="none"/>
    </w:rPr>
  </w:style>
  <w:style w:type="paragraph" w:customStyle="1" w:styleId="afa">
    <w:name w:val="Стиль"/>
    <w:basedOn w:val="a"/>
    <w:uiPriority w:val="99"/>
    <w:pPr>
      <w:spacing w:line="240" w:lineRule="auto"/>
    </w:pPr>
    <w:rPr>
      <w:rFonts w:ascii="Verdana" w:hAnsi="Verdana" w:cs="Verdana"/>
      <w:color w:val="auto"/>
      <w:sz w:val="20"/>
      <w:lang w:val="en-US" w:eastAsia="en-US"/>
    </w:rPr>
  </w:style>
  <w:style w:type="paragraph" w:styleId="afb">
    <w:name w:val="Subtitle"/>
    <w:basedOn w:val="a"/>
    <w:next w:val="a"/>
    <w:link w:val="afc"/>
    <w:pPr>
      <w:keepNext/>
      <w:keepLines/>
      <w:pBdr>
        <w:top w:val="nil"/>
        <w:left w:val="nil"/>
        <w:bottom w:val="nil"/>
        <w:right w:val="nil"/>
        <w:between w:val="nil"/>
      </w:pBdr>
      <w:spacing w:before="360" w:after="80" w:line="240" w:lineRule="auto"/>
      <w:ind w:left="0" w:firstLine="0"/>
    </w:pPr>
    <w:rPr>
      <w:rFonts w:ascii="Georgia" w:eastAsia="Georgia" w:hAnsi="Georgia" w:cs="Georgia"/>
      <w:i/>
      <w:color w:val="666666"/>
      <w:sz w:val="48"/>
      <w:szCs w:val="48"/>
    </w:rPr>
  </w:style>
  <w:style w:type="character" w:customStyle="1" w:styleId="afc">
    <w:name w:val="Подзаголовок Знак"/>
    <w:basedOn w:val="a0"/>
    <w:link w:val="afb"/>
    <w:uiPriority w:val="99"/>
    <w:locked/>
    <w:rPr>
      <w:rFonts w:ascii="Cambria" w:hAnsi="Cambria" w:cs="Times New Roman"/>
      <w:color w:val="000000"/>
      <w:sz w:val="24"/>
      <w:szCs w:val="24"/>
    </w:rPr>
  </w:style>
  <w:style w:type="table" w:customStyle="1" w:styleId="31">
    <w:name w:val="Стиль3"/>
    <w:uiPriority w:val="99"/>
    <w:rPr>
      <w:sz w:val="20"/>
      <w:szCs w:val="20"/>
    </w:rPr>
    <w:tblPr>
      <w:tblStyleRowBandSize w:val="1"/>
      <w:tblStyleColBandSize w:val="1"/>
      <w:tblInd w:w="0" w:type="dxa"/>
      <w:tblCellMar>
        <w:top w:w="15" w:type="dxa"/>
        <w:left w:w="15" w:type="dxa"/>
        <w:bottom w:w="15" w:type="dxa"/>
        <w:right w:w="15" w:type="dxa"/>
      </w:tblCellMar>
    </w:tblPr>
  </w:style>
  <w:style w:type="table" w:customStyle="1" w:styleId="27">
    <w:name w:val="Стиль2"/>
    <w:uiPriority w:val="99"/>
    <w:rPr>
      <w:sz w:val="20"/>
      <w:szCs w:val="20"/>
    </w:rPr>
    <w:tblPr>
      <w:tblStyleRowBandSize w:val="1"/>
      <w:tblStyleColBandSize w:val="1"/>
      <w:tblInd w:w="0" w:type="dxa"/>
      <w:tblCellMar>
        <w:top w:w="0" w:type="dxa"/>
        <w:left w:w="108" w:type="dxa"/>
        <w:bottom w:w="0" w:type="dxa"/>
        <w:right w:w="108" w:type="dxa"/>
      </w:tblCellMar>
    </w:tblPr>
  </w:style>
  <w:style w:type="table" w:customStyle="1" w:styleId="16">
    <w:name w:val="Стиль1"/>
    <w:uiPriority w:val="99"/>
    <w:rPr>
      <w:sz w:val="20"/>
      <w:szCs w:val="20"/>
    </w:rPr>
    <w:tblPr>
      <w:tblStyleRowBandSize w:val="1"/>
      <w:tblStyleColBandSize w:val="1"/>
      <w:tblInd w:w="0" w:type="dxa"/>
      <w:tblCellMar>
        <w:top w:w="0" w:type="dxa"/>
        <w:left w:w="108" w:type="dxa"/>
        <w:bottom w:w="0" w:type="dxa"/>
        <w:right w:w="108" w:type="dxa"/>
      </w:tblCellMar>
    </w:tblPr>
  </w:style>
  <w:style w:type="paragraph" w:styleId="afd">
    <w:name w:val="annotation text"/>
    <w:basedOn w:val="a"/>
    <w:link w:val="afe"/>
    <w:uiPriority w:val="99"/>
    <w:semiHidden/>
    <w:pPr>
      <w:suppressAutoHyphens w:val="0"/>
      <w:spacing w:line="240" w:lineRule="auto"/>
      <w:ind w:leftChars="0" w:left="0" w:firstLineChars="0" w:firstLine="0"/>
      <w:textDirection w:val="lrTb"/>
      <w:textAlignment w:val="auto"/>
      <w:outlineLvl w:val="9"/>
    </w:pPr>
    <w:rPr>
      <w:rFonts w:ascii="Calibri" w:eastAsia="Arial" w:hAnsi="Calibri" w:cs="Calibri"/>
      <w:color w:val="auto"/>
      <w:position w:val="0"/>
      <w:sz w:val="20"/>
    </w:rPr>
  </w:style>
  <w:style w:type="character" w:customStyle="1" w:styleId="afe">
    <w:name w:val="Текст примечания Знак"/>
    <w:basedOn w:val="a0"/>
    <w:link w:val="afd"/>
    <w:uiPriority w:val="99"/>
    <w:semiHidden/>
    <w:locked/>
    <w:rPr>
      <w:rFonts w:cs="Times New Roman"/>
    </w:rPr>
  </w:style>
  <w:style w:type="character" w:styleId="aff">
    <w:name w:val="annotation reference"/>
    <w:basedOn w:val="a0"/>
    <w:uiPriority w:val="99"/>
    <w:semiHidden/>
    <w:rPr>
      <w:rFonts w:cs="Times New Roman"/>
      <w:sz w:val="16"/>
      <w:szCs w:val="16"/>
    </w:rPr>
  </w:style>
  <w:style w:type="table" w:customStyle="1" w:styleId="150">
    <w:name w:val="Стиль15"/>
    <w:uiPriority w:val="99"/>
    <w:rsid w:val="0002022E"/>
    <w:rPr>
      <w:sz w:val="20"/>
      <w:szCs w:val="20"/>
    </w:rPr>
    <w:tblPr>
      <w:tblStyleRowBandSize w:val="1"/>
      <w:tblStyleColBandSize w:val="1"/>
      <w:tblInd w:w="0" w:type="dxa"/>
      <w:tblCellMar>
        <w:top w:w="15" w:type="dxa"/>
        <w:left w:w="15" w:type="dxa"/>
        <w:bottom w:w="15" w:type="dxa"/>
        <w:right w:w="15" w:type="dxa"/>
      </w:tblCellMar>
    </w:tblPr>
  </w:style>
  <w:style w:type="table" w:customStyle="1" w:styleId="140">
    <w:name w:val="Стиль14"/>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130">
    <w:name w:val="Стиль13"/>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120">
    <w:name w:val="Стиль12"/>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111">
    <w:name w:val="Стиль11"/>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100">
    <w:name w:val="Стиль10"/>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9">
    <w:name w:val="Стиль9"/>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8">
    <w:name w:val="Стиль8"/>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7">
    <w:name w:val="Стиль7"/>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61">
    <w:name w:val="Стиль6"/>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51">
    <w:name w:val="Стиль5"/>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41">
    <w:name w:val="Стиль4"/>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0">
    <w:basedOn w:val="TableNormalffb"/>
    <w:tblPr>
      <w:tblStyleRowBandSize w:val="1"/>
      <w:tblStyleColBandSize w:val="1"/>
      <w:tblCellMar>
        <w:left w:w="115" w:type="dxa"/>
        <w:right w:w="115" w:type="dxa"/>
      </w:tblCellMar>
    </w:tblPr>
  </w:style>
  <w:style w:type="table" w:customStyle="1" w:styleId="aff1">
    <w:basedOn w:val="TableNormalffb"/>
    <w:tblPr>
      <w:tblStyleRowBandSize w:val="1"/>
      <w:tblStyleColBandSize w:val="1"/>
      <w:tblCellMar>
        <w:left w:w="115" w:type="dxa"/>
        <w:right w:w="115" w:type="dxa"/>
      </w:tblCellMar>
    </w:tblPr>
  </w:style>
  <w:style w:type="table" w:customStyle="1" w:styleId="aff2">
    <w:basedOn w:val="TableNormalffb"/>
    <w:tblPr>
      <w:tblStyleRowBandSize w:val="1"/>
      <w:tblStyleColBandSize w:val="1"/>
      <w:tblCellMar>
        <w:left w:w="115" w:type="dxa"/>
        <w:right w:w="115" w:type="dxa"/>
      </w:tblCellMar>
    </w:tblPr>
  </w:style>
  <w:style w:type="table" w:customStyle="1" w:styleId="aff3">
    <w:basedOn w:val="TableNormalffb"/>
    <w:tblPr>
      <w:tblStyleRowBandSize w:val="1"/>
      <w:tblStyleColBandSize w:val="1"/>
      <w:tblCellMar>
        <w:left w:w="115" w:type="dxa"/>
        <w:right w:w="115" w:type="dxa"/>
      </w:tblCellMar>
    </w:tblPr>
  </w:style>
  <w:style w:type="table" w:customStyle="1" w:styleId="aff4">
    <w:basedOn w:val="TableNormalffb"/>
    <w:tblPr>
      <w:tblStyleRowBandSize w:val="1"/>
      <w:tblStyleColBandSize w:val="1"/>
      <w:tblCellMar>
        <w:left w:w="115" w:type="dxa"/>
        <w:right w:w="115" w:type="dxa"/>
      </w:tblCellMar>
    </w:tblPr>
  </w:style>
  <w:style w:type="table" w:customStyle="1" w:styleId="aff5">
    <w:basedOn w:val="TableNormalffb"/>
    <w:tblPr>
      <w:tblStyleRowBandSize w:val="1"/>
      <w:tblStyleColBandSize w:val="1"/>
      <w:tblCellMar>
        <w:left w:w="115" w:type="dxa"/>
        <w:right w:w="115" w:type="dxa"/>
      </w:tblCellMar>
    </w:tblPr>
  </w:style>
  <w:style w:type="table" w:customStyle="1" w:styleId="aff6">
    <w:basedOn w:val="TableNormalffb"/>
    <w:tblPr>
      <w:tblStyleRowBandSize w:val="1"/>
      <w:tblStyleColBandSize w:val="1"/>
      <w:tblCellMar>
        <w:left w:w="115" w:type="dxa"/>
        <w:right w:w="115" w:type="dxa"/>
      </w:tblCellMar>
    </w:tblPr>
  </w:style>
  <w:style w:type="table" w:customStyle="1" w:styleId="aff7">
    <w:basedOn w:val="TableNormalffb"/>
    <w:tblPr>
      <w:tblStyleRowBandSize w:val="1"/>
      <w:tblStyleColBandSize w:val="1"/>
      <w:tblCellMar>
        <w:left w:w="115" w:type="dxa"/>
        <w:right w:w="115" w:type="dxa"/>
      </w:tblCellMar>
    </w:tblPr>
  </w:style>
  <w:style w:type="table" w:customStyle="1" w:styleId="aff8">
    <w:basedOn w:val="TableNormalffb"/>
    <w:tblPr>
      <w:tblStyleRowBandSize w:val="1"/>
      <w:tblStyleColBandSize w:val="1"/>
      <w:tblCellMar>
        <w:left w:w="115" w:type="dxa"/>
        <w:right w:w="115" w:type="dxa"/>
      </w:tblCellMar>
    </w:tblPr>
  </w:style>
  <w:style w:type="table" w:customStyle="1" w:styleId="aff9">
    <w:basedOn w:val="TableNormalffb"/>
    <w:tblPr>
      <w:tblStyleRowBandSize w:val="1"/>
      <w:tblStyleColBandSize w:val="1"/>
      <w:tblCellMar>
        <w:left w:w="115" w:type="dxa"/>
        <w:right w:w="115" w:type="dxa"/>
      </w:tblCellMar>
    </w:tblPr>
  </w:style>
  <w:style w:type="table" w:customStyle="1" w:styleId="affa">
    <w:basedOn w:val="TableNormalffb"/>
    <w:tblPr>
      <w:tblStyleRowBandSize w:val="1"/>
      <w:tblStyleColBandSize w:val="1"/>
      <w:tblCellMar>
        <w:left w:w="115" w:type="dxa"/>
        <w:right w:w="115" w:type="dxa"/>
      </w:tblCellMar>
    </w:tblPr>
  </w:style>
  <w:style w:type="table" w:customStyle="1" w:styleId="affb">
    <w:basedOn w:val="TableNormalffb"/>
    <w:tblPr>
      <w:tblStyleRowBandSize w:val="1"/>
      <w:tblStyleColBandSize w:val="1"/>
      <w:tblCellMar>
        <w:left w:w="115" w:type="dxa"/>
        <w:right w:w="115" w:type="dxa"/>
      </w:tblCellMar>
    </w:tblPr>
  </w:style>
  <w:style w:type="table" w:customStyle="1" w:styleId="affc">
    <w:basedOn w:val="TableNormalffb"/>
    <w:tblPr>
      <w:tblStyleRowBandSize w:val="1"/>
      <w:tblStyleColBandSize w:val="1"/>
      <w:tblCellMar>
        <w:left w:w="115" w:type="dxa"/>
        <w:right w:w="115" w:type="dxa"/>
      </w:tblCellMar>
    </w:tblPr>
  </w:style>
  <w:style w:type="table" w:customStyle="1" w:styleId="affd">
    <w:basedOn w:val="TableNormalffb"/>
    <w:tblPr>
      <w:tblStyleRowBandSize w:val="1"/>
      <w:tblStyleColBandSize w:val="1"/>
      <w:tblCellMar>
        <w:left w:w="115" w:type="dxa"/>
        <w:right w:w="115" w:type="dxa"/>
      </w:tblCellMar>
    </w:tblPr>
  </w:style>
  <w:style w:type="table" w:customStyle="1" w:styleId="affe">
    <w:basedOn w:val="TableNormalffb"/>
    <w:tblPr>
      <w:tblStyleRowBandSize w:val="1"/>
      <w:tblStyleColBandSize w:val="1"/>
      <w:tblCellMar>
        <w:left w:w="115" w:type="dxa"/>
        <w:right w:w="115" w:type="dxa"/>
      </w:tblCellMar>
    </w:tblPr>
  </w:style>
  <w:style w:type="table" w:customStyle="1" w:styleId="afff">
    <w:basedOn w:val="TableNormalffb"/>
    <w:tblPr>
      <w:tblStyleRowBandSize w:val="1"/>
      <w:tblStyleColBandSize w:val="1"/>
      <w:tblCellMar>
        <w:left w:w="115" w:type="dxa"/>
        <w:right w:w="115" w:type="dxa"/>
      </w:tblCellMar>
    </w:tblPr>
  </w:style>
  <w:style w:type="table" w:customStyle="1" w:styleId="afff0">
    <w:basedOn w:val="TableNormalffb"/>
    <w:tblPr>
      <w:tblStyleRowBandSize w:val="1"/>
      <w:tblStyleColBandSize w:val="1"/>
      <w:tblCellMar>
        <w:left w:w="115" w:type="dxa"/>
        <w:right w:w="115" w:type="dxa"/>
      </w:tblCellMar>
    </w:tblPr>
  </w:style>
  <w:style w:type="table" w:customStyle="1" w:styleId="afff1">
    <w:basedOn w:val="TableNormalffb"/>
    <w:tblPr>
      <w:tblStyleRowBandSize w:val="1"/>
      <w:tblStyleColBandSize w:val="1"/>
      <w:tblCellMar>
        <w:left w:w="115" w:type="dxa"/>
        <w:right w:w="115" w:type="dxa"/>
      </w:tblCellMar>
    </w:tblPr>
  </w:style>
  <w:style w:type="table" w:customStyle="1" w:styleId="afff2">
    <w:basedOn w:val="TableNormalffb"/>
    <w:tblPr>
      <w:tblStyleRowBandSize w:val="1"/>
      <w:tblStyleColBandSize w:val="1"/>
      <w:tblCellMar>
        <w:left w:w="115" w:type="dxa"/>
        <w:right w:w="115" w:type="dxa"/>
      </w:tblCellMar>
    </w:tblPr>
  </w:style>
  <w:style w:type="table" w:customStyle="1" w:styleId="afff3">
    <w:basedOn w:val="TableNormalffb"/>
    <w:tblPr>
      <w:tblStyleRowBandSize w:val="1"/>
      <w:tblStyleColBandSize w:val="1"/>
      <w:tblCellMar>
        <w:left w:w="115" w:type="dxa"/>
        <w:right w:w="115" w:type="dxa"/>
      </w:tblCellMar>
    </w:tblPr>
  </w:style>
  <w:style w:type="table" w:customStyle="1" w:styleId="afff4">
    <w:basedOn w:val="TableNormalffb"/>
    <w:tblPr>
      <w:tblStyleRowBandSize w:val="1"/>
      <w:tblStyleColBandSize w:val="1"/>
      <w:tblCellMar>
        <w:left w:w="115" w:type="dxa"/>
        <w:right w:w="115" w:type="dxa"/>
      </w:tblCellMar>
    </w:tblPr>
  </w:style>
  <w:style w:type="table" w:customStyle="1" w:styleId="afff5">
    <w:basedOn w:val="TableNormalffb"/>
    <w:tblPr>
      <w:tblStyleRowBandSize w:val="1"/>
      <w:tblStyleColBandSize w:val="1"/>
      <w:tblCellMar>
        <w:left w:w="115" w:type="dxa"/>
        <w:right w:w="115" w:type="dxa"/>
      </w:tblCellMar>
    </w:tblPr>
  </w:style>
  <w:style w:type="table" w:customStyle="1" w:styleId="afff6">
    <w:basedOn w:val="TableNormalffb"/>
    <w:tblPr>
      <w:tblStyleRowBandSize w:val="1"/>
      <w:tblStyleColBandSize w:val="1"/>
      <w:tblCellMar>
        <w:left w:w="115" w:type="dxa"/>
        <w:right w:w="115" w:type="dxa"/>
      </w:tblCellMar>
    </w:tblPr>
  </w:style>
  <w:style w:type="table" w:customStyle="1" w:styleId="afff7">
    <w:basedOn w:val="TableNormalffb"/>
    <w:tblPr>
      <w:tblStyleRowBandSize w:val="1"/>
      <w:tblStyleColBandSize w:val="1"/>
      <w:tblCellMar>
        <w:left w:w="115" w:type="dxa"/>
        <w:right w:w="115" w:type="dxa"/>
      </w:tblCellMar>
    </w:tblPr>
  </w:style>
  <w:style w:type="table" w:customStyle="1" w:styleId="afff8">
    <w:basedOn w:val="TableNormalffb"/>
    <w:tblPr>
      <w:tblStyleRowBandSize w:val="1"/>
      <w:tblStyleColBandSize w:val="1"/>
      <w:tblCellMar>
        <w:left w:w="115" w:type="dxa"/>
        <w:right w:w="115" w:type="dxa"/>
      </w:tblCellMar>
    </w:tblPr>
  </w:style>
  <w:style w:type="table" w:customStyle="1" w:styleId="afff9">
    <w:basedOn w:val="TableNormalffb"/>
    <w:tblPr>
      <w:tblStyleRowBandSize w:val="1"/>
      <w:tblStyleColBandSize w:val="1"/>
      <w:tblCellMar>
        <w:left w:w="115" w:type="dxa"/>
        <w:right w:w="115" w:type="dxa"/>
      </w:tblCellMar>
    </w:tblPr>
  </w:style>
  <w:style w:type="table" w:customStyle="1" w:styleId="afffa">
    <w:basedOn w:val="TableNormalffb"/>
    <w:tblPr>
      <w:tblStyleRowBandSize w:val="1"/>
      <w:tblStyleColBandSize w:val="1"/>
      <w:tblCellMar>
        <w:left w:w="115" w:type="dxa"/>
        <w:right w:w="115" w:type="dxa"/>
      </w:tblCellMar>
    </w:tblPr>
  </w:style>
  <w:style w:type="table" w:customStyle="1" w:styleId="afffb">
    <w:basedOn w:val="TableNormalffb"/>
    <w:tblPr>
      <w:tblStyleRowBandSize w:val="1"/>
      <w:tblStyleColBandSize w:val="1"/>
      <w:tblCellMar>
        <w:left w:w="115" w:type="dxa"/>
        <w:right w:w="115" w:type="dxa"/>
      </w:tblCellMar>
    </w:tblPr>
  </w:style>
  <w:style w:type="table" w:customStyle="1" w:styleId="afffc">
    <w:basedOn w:val="TableNormalffb"/>
    <w:tblPr>
      <w:tblStyleRowBandSize w:val="1"/>
      <w:tblStyleColBandSize w:val="1"/>
      <w:tblCellMar>
        <w:left w:w="115" w:type="dxa"/>
        <w:right w:w="115" w:type="dxa"/>
      </w:tblCellMar>
    </w:tblPr>
  </w:style>
  <w:style w:type="table" w:customStyle="1" w:styleId="afffd">
    <w:basedOn w:val="TableNormalffb"/>
    <w:tblPr>
      <w:tblStyleRowBandSize w:val="1"/>
      <w:tblStyleColBandSize w:val="1"/>
      <w:tblCellMar>
        <w:left w:w="115" w:type="dxa"/>
        <w:right w:w="115" w:type="dxa"/>
      </w:tblCellMar>
    </w:tblPr>
  </w:style>
  <w:style w:type="table" w:customStyle="1" w:styleId="afffe">
    <w:basedOn w:val="TableNormalffb"/>
    <w:tblPr>
      <w:tblStyleRowBandSize w:val="1"/>
      <w:tblStyleColBandSize w:val="1"/>
      <w:tblCellMar>
        <w:left w:w="115" w:type="dxa"/>
        <w:right w:w="115" w:type="dxa"/>
      </w:tblCellMar>
    </w:tblPr>
  </w:style>
  <w:style w:type="table" w:customStyle="1" w:styleId="affff">
    <w:basedOn w:val="TableNormalffb"/>
    <w:tblPr>
      <w:tblStyleRowBandSize w:val="1"/>
      <w:tblStyleColBandSize w:val="1"/>
      <w:tblCellMar>
        <w:left w:w="115" w:type="dxa"/>
        <w:right w:w="115" w:type="dxa"/>
      </w:tblCellMar>
    </w:tblPr>
  </w:style>
  <w:style w:type="table" w:customStyle="1" w:styleId="affff0">
    <w:basedOn w:val="TableNormalffb"/>
    <w:tblPr>
      <w:tblStyleRowBandSize w:val="1"/>
      <w:tblStyleColBandSize w:val="1"/>
      <w:tblCellMar>
        <w:left w:w="115" w:type="dxa"/>
        <w:right w:w="115" w:type="dxa"/>
      </w:tblCellMar>
    </w:tblPr>
  </w:style>
  <w:style w:type="table" w:customStyle="1" w:styleId="affff1">
    <w:basedOn w:val="TableNormalffb"/>
    <w:tblPr>
      <w:tblStyleRowBandSize w:val="1"/>
      <w:tblStyleColBandSize w:val="1"/>
      <w:tblCellMar>
        <w:left w:w="115" w:type="dxa"/>
        <w:right w:w="115" w:type="dxa"/>
      </w:tblCellMar>
    </w:tblPr>
  </w:style>
  <w:style w:type="table" w:customStyle="1" w:styleId="affff2">
    <w:basedOn w:val="TableNormalffb"/>
    <w:tblPr>
      <w:tblStyleRowBandSize w:val="1"/>
      <w:tblStyleColBandSize w:val="1"/>
      <w:tblCellMar>
        <w:left w:w="115" w:type="dxa"/>
        <w:right w:w="115" w:type="dxa"/>
      </w:tblCellMar>
    </w:tblPr>
  </w:style>
  <w:style w:type="table" w:customStyle="1" w:styleId="affff3">
    <w:basedOn w:val="TableNormalffb"/>
    <w:tblPr>
      <w:tblStyleRowBandSize w:val="1"/>
      <w:tblStyleColBandSize w:val="1"/>
      <w:tblCellMar>
        <w:left w:w="115" w:type="dxa"/>
        <w:right w:w="115" w:type="dxa"/>
      </w:tblCellMar>
    </w:tblPr>
  </w:style>
  <w:style w:type="table" w:customStyle="1" w:styleId="affff4">
    <w:basedOn w:val="TableNormalffb"/>
    <w:tblPr>
      <w:tblStyleRowBandSize w:val="1"/>
      <w:tblStyleColBandSize w:val="1"/>
      <w:tblCellMar>
        <w:left w:w="115" w:type="dxa"/>
        <w:right w:w="115" w:type="dxa"/>
      </w:tblCellMar>
    </w:tblPr>
  </w:style>
  <w:style w:type="table" w:customStyle="1" w:styleId="affff5">
    <w:basedOn w:val="TableNormalffb"/>
    <w:tblPr>
      <w:tblStyleRowBandSize w:val="1"/>
      <w:tblStyleColBandSize w:val="1"/>
      <w:tblCellMar>
        <w:left w:w="115" w:type="dxa"/>
        <w:right w:w="115" w:type="dxa"/>
      </w:tblCellMar>
    </w:tblPr>
  </w:style>
  <w:style w:type="table" w:customStyle="1" w:styleId="affff6">
    <w:basedOn w:val="TableNormalffb"/>
    <w:tblPr>
      <w:tblStyleRowBandSize w:val="1"/>
      <w:tblStyleColBandSize w:val="1"/>
      <w:tblCellMar>
        <w:left w:w="115" w:type="dxa"/>
        <w:right w:w="115" w:type="dxa"/>
      </w:tblCellMar>
    </w:tblPr>
  </w:style>
  <w:style w:type="table" w:customStyle="1" w:styleId="affff7">
    <w:basedOn w:val="TableNormalffb"/>
    <w:tblPr>
      <w:tblStyleRowBandSize w:val="1"/>
      <w:tblStyleColBandSize w:val="1"/>
      <w:tblCellMar>
        <w:left w:w="115" w:type="dxa"/>
        <w:right w:w="115" w:type="dxa"/>
      </w:tblCellMar>
    </w:tblPr>
  </w:style>
  <w:style w:type="table" w:customStyle="1" w:styleId="affff8">
    <w:basedOn w:val="TableNormalffb"/>
    <w:tblPr>
      <w:tblStyleRowBandSize w:val="1"/>
      <w:tblStyleColBandSize w:val="1"/>
      <w:tblCellMar>
        <w:left w:w="115" w:type="dxa"/>
        <w:right w:w="115" w:type="dxa"/>
      </w:tblCellMar>
    </w:tblPr>
  </w:style>
  <w:style w:type="table" w:customStyle="1" w:styleId="affff9">
    <w:basedOn w:val="TableNormalffb"/>
    <w:tblPr>
      <w:tblStyleRowBandSize w:val="1"/>
      <w:tblStyleColBandSize w:val="1"/>
      <w:tblCellMar>
        <w:left w:w="115" w:type="dxa"/>
        <w:right w:w="115" w:type="dxa"/>
      </w:tblCellMar>
    </w:tblPr>
  </w:style>
  <w:style w:type="table" w:customStyle="1" w:styleId="affffa">
    <w:basedOn w:val="TableNormalffb"/>
    <w:tblPr>
      <w:tblStyleRowBandSize w:val="1"/>
      <w:tblStyleColBandSize w:val="1"/>
      <w:tblCellMar>
        <w:left w:w="115" w:type="dxa"/>
        <w:right w:w="115" w:type="dxa"/>
      </w:tblCellMar>
    </w:tblPr>
  </w:style>
  <w:style w:type="table" w:customStyle="1" w:styleId="affffb">
    <w:basedOn w:val="TableNormalffb"/>
    <w:tblPr>
      <w:tblStyleRowBandSize w:val="1"/>
      <w:tblStyleColBandSize w:val="1"/>
      <w:tblCellMar>
        <w:left w:w="115" w:type="dxa"/>
        <w:right w:w="115" w:type="dxa"/>
      </w:tblCellMar>
    </w:tblPr>
  </w:style>
  <w:style w:type="table" w:customStyle="1" w:styleId="affffc">
    <w:basedOn w:val="TableNormalffb"/>
    <w:tblPr>
      <w:tblStyleRowBandSize w:val="1"/>
      <w:tblStyleColBandSize w:val="1"/>
      <w:tblCellMar>
        <w:left w:w="115" w:type="dxa"/>
        <w:right w:w="115" w:type="dxa"/>
      </w:tblCellMar>
    </w:tblPr>
  </w:style>
  <w:style w:type="table" w:customStyle="1" w:styleId="affffd">
    <w:basedOn w:val="TableNormalffb"/>
    <w:tblPr>
      <w:tblStyleRowBandSize w:val="1"/>
      <w:tblStyleColBandSize w:val="1"/>
      <w:tblCellMar>
        <w:left w:w="115" w:type="dxa"/>
        <w:right w:w="115" w:type="dxa"/>
      </w:tblCellMar>
    </w:tblPr>
  </w:style>
  <w:style w:type="table" w:customStyle="1" w:styleId="affffe">
    <w:basedOn w:val="TableNormalffb"/>
    <w:tblPr>
      <w:tblStyleRowBandSize w:val="1"/>
      <w:tblStyleColBandSize w:val="1"/>
      <w:tblCellMar>
        <w:left w:w="115" w:type="dxa"/>
        <w:right w:w="115" w:type="dxa"/>
      </w:tblCellMar>
    </w:tblPr>
  </w:style>
  <w:style w:type="table" w:customStyle="1" w:styleId="afffff">
    <w:basedOn w:val="TableNormalffb"/>
    <w:tblPr>
      <w:tblStyleRowBandSize w:val="1"/>
      <w:tblStyleColBandSize w:val="1"/>
      <w:tblCellMar>
        <w:left w:w="115" w:type="dxa"/>
        <w:right w:w="115" w:type="dxa"/>
      </w:tblCellMar>
    </w:tblPr>
  </w:style>
  <w:style w:type="table" w:customStyle="1" w:styleId="afffff0">
    <w:basedOn w:val="TableNormalffb"/>
    <w:tblPr>
      <w:tblStyleRowBandSize w:val="1"/>
      <w:tblStyleColBandSize w:val="1"/>
      <w:tblCellMar>
        <w:left w:w="115" w:type="dxa"/>
        <w:right w:w="115" w:type="dxa"/>
      </w:tblCellMar>
    </w:tblPr>
  </w:style>
  <w:style w:type="table" w:customStyle="1" w:styleId="afffff1">
    <w:basedOn w:val="TableNormalffb"/>
    <w:tblPr>
      <w:tblStyleRowBandSize w:val="1"/>
      <w:tblStyleColBandSize w:val="1"/>
      <w:tblCellMar>
        <w:left w:w="115" w:type="dxa"/>
        <w:right w:w="115" w:type="dxa"/>
      </w:tblCellMar>
    </w:tblPr>
  </w:style>
  <w:style w:type="table" w:customStyle="1" w:styleId="afffff2">
    <w:basedOn w:val="TableNormalffb"/>
    <w:tblPr>
      <w:tblStyleRowBandSize w:val="1"/>
      <w:tblStyleColBandSize w:val="1"/>
      <w:tblCellMar>
        <w:top w:w="100" w:type="dxa"/>
        <w:left w:w="100" w:type="dxa"/>
        <w:bottom w:w="100" w:type="dxa"/>
        <w:right w:w="100" w:type="dxa"/>
      </w:tblCellMar>
    </w:tblPr>
  </w:style>
  <w:style w:type="table" w:customStyle="1" w:styleId="afffff3">
    <w:basedOn w:val="TableNormalffb"/>
    <w:tblPr>
      <w:tblStyleRowBandSize w:val="1"/>
      <w:tblStyleColBandSize w:val="1"/>
      <w:tblCellMar>
        <w:left w:w="115" w:type="dxa"/>
        <w:right w:w="115" w:type="dxa"/>
      </w:tblCellMar>
    </w:tblPr>
  </w:style>
  <w:style w:type="table" w:customStyle="1" w:styleId="afffff4">
    <w:basedOn w:val="TableNormalffb"/>
    <w:tblPr>
      <w:tblStyleRowBandSize w:val="1"/>
      <w:tblStyleColBandSize w:val="1"/>
      <w:tblCellMar>
        <w:left w:w="115" w:type="dxa"/>
        <w:right w:w="115" w:type="dxa"/>
      </w:tblCellMar>
    </w:tblPr>
  </w:style>
  <w:style w:type="table" w:customStyle="1" w:styleId="afffff5">
    <w:basedOn w:val="TableNormalffb"/>
    <w:tblPr>
      <w:tblStyleRowBandSize w:val="1"/>
      <w:tblStyleColBandSize w:val="1"/>
      <w:tblCellMar>
        <w:left w:w="115" w:type="dxa"/>
        <w:right w:w="115" w:type="dxa"/>
      </w:tblCellMar>
    </w:tblPr>
  </w:style>
  <w:style w:type="table" w:customStyle="1" w:styleId="afffff6">
    <w:basedOn w:val="TableNormalffb"/>
    <w:rPr>
      <w:sz w:val="20"/>
      <w:szCs w:val="20"/>
    </w:rPr>
    <w:tblPr>
      <w:tblStyleRowBandSize w:val="1"/>
      <w:tblStyleColBandSize w:val="1"/>
      <w:tblCellMar>
        <w:left w:w="115" w:type="dxa"/>
        <w:right w:w="115" w:type="dxa"/>
      </w:tblCellMar>
    </w:tblPr>
  </w:style>
  <w:style w:type="table" w:customStyle="1" w:styleId="afffff7">
    <w:basedOn w:val="TableNormalffb"/>
    <w:tblPr>
      <w:tblStyleRowBandSize w:val="1"/>
      <w:tblStyleColBandSize w:val="1"/>
      <w:tblCellMar>
        <w:left w:w="115" w:type="dxa"/>
        <w:right w:w="115" w:type="dxa"/>
      </w:tblCellMar>
    </w:tblPr>
  </w:style>
  <w:style w:type="table" w:customStyle="1" w:styleId="afffff8">
    <w:basedOn w:val="TableNormalffb"/>
    <w:rPr>
      <w:sz w:val="20"/>
      <w:szCs w:val="20"/>
    </w:rPr>
    <w:tblPr>
      <w:tblStyleRowBandSize w:val="1"/>
      <w:tblStyleColBandSize w:val="1"/>
      <w:tblCellMar>
        <w:left w:w="115" w:type="dxa"/>
        <w:right w:w="115" w:type="dxa"/>
      </w:tblCellMar>
    </w:tblPr>
  </w:style>
  <w:style w:type="table" w:customStyle="1" w:styleId="afffff9">
    <w:basedOn w:val="TableNormalffb"/>
    <w:rPr>
      <w:sz w:val="20"/>
      <w:szCs w:val="20"/>
    </w:rPr>
    <w:tblPr>
      <w:tblStyleRowBandSize w:val="1"/>
      <w:tblStyleColBandSize w:val="1"/>
      <w:tblCellMar>
        <w:left w:w="115" w:type="dxa"/>
        <w:right w:w="115" w:type="dxa"/>
      </w:tblCellMar>
    </w:tblPr>
  </w:style>
  <w:style w:type="table" w:customStyle="1" w:styleId="afffffa">
    <w:basedOn w:val="TableNormalffb"/>
    <w:rPr>
      <w:sz w:val="20"/>
      <w:szCs w:val="20"/>
    </w:rPr>
    <w:tblPr>
      <w:tblStyleRowBandSize w:val="1"/>
      <w:tblStyleColBandSize w:val="1"/>
      <w:tblCellMar>
        <w:left w:w="115" w:type="dxa"/>
        <w:right w:w="115" w:type="dxa"/>
      </w:tblCellMar>
    </w:tblPr>
  </w:style>
  <w:style w:type="table" w:customStyle="1" w:styleId="afffffb">
    <w:basedOn w:val="TableNormalffb"/>
    <w:rPr>
      <w:sz w:val="20"/>
      <w:szCs w:val="20"/>
    </w:rPr>
    <w:tblPr>
      <w:tblStyleRowBandSize w:val="1"/>
      <w:tblStyleColBandSize w:val="1"/>
      <w:tblCellMar>
        <w:left w:w="115" w:type="dxa"/>
        <w:right w:w="115" w:type="dxa"/>
      </w:tblCellMar>
    </w:tblPr>
  </w:style>
  <w:style w:type="table" w:customStyle="1" w:styleId="afffffc">
    <w:basedOn w:val="TableNormalffb"/>
    <w:rPr>
      <w:sz w:val="20"/>
      <w:szCs w:val="20"/>
    </w:rPr>
    <w:tblPr>
      <w:tblStyleRowBandSize w:val="1"/>
      <w:tblStyleColBandSize w:val="1"/>
      <w:tblCellMar>
        <w:left w:w="115" w:type="dxa"/>
        <w:right w:w="115" w:type="dxa"/>
      </w:tblCellMar>
    </w:tblPr>
  </w:style>
  <w:style w:type="table" w:customStyle="1" w:styleId="afffffd">
    <w:basedOn w:val="TableNormalffb"/>
    <w:rPr>
      <w:sz w:val="20"/>
      <w:szCs w:val="20"/>
    </w:rPr>
    <w:tblPr>
      <w:tblStyleRowBandSize w:val="1"/>
      <w:tblStyleColBandSize w:val="1"/>
      <w:tblCellMar>
        <w:left w:w="115" w:type="dxa"/>
        <w:right w:w="115" w:type="dxa"/>
      </w:tblCellMar>
    </w:tblPr>
  </w:style>
  <w:style w:type="table" w:customStyle="1" w:styleId="afffffe">
    <w:basedOn w:val="TableNormalffb"/>
    <w:rPr>
      <w:sz w:val="20"/>
      <w:szCs w:val="20"/>
    </w:rPr>
    <w:tblPr>
      <w:tblStyleRowBandSize w:val="1"/>
      <w:tblStyleColBandSize w:val="1"/>
      <w:tblCellMar>
        <w:left w:w="115" w:type="dxa"/>
        <w:right w:w="115" w:type="dxa"/>
      </w:tblCellMar>
    </w:tblPr>
  </w:style>
  <w:style w:type="table" w:customStyle="1" w:styleId="affffff">
    <w:basedOn w:val="TableNormalffb"/>
    <w:rPr>
      <w:sz w:val="20"/>
      <w:szCs w:val="20"/>
    </w:rPr>
    <w:tblPr>
      <w:tblStyleRowBandSize w:val="1"/>
      <w:tblStyleColBandSize w:val="1"/>
      <w:tblCellMar>
        <w:left w:w="115" w:type="dxa"/>
        <w:right w:w="115" w:type="dxa"/>
      </w:tblCellMar>
    </w:tblPr>
  </w:style>
  <w:style w:type="table" w:customStyle="1" w:styleId="affffff0">
    <w:basedOn w:val="TableNormalffb"/>
    <w:rPr>
      <w:sz w:val="20"/>
      <w:szCs w:val="20"/>
    </w:rPr>
    <w:tblPr>
      <w:tblStyleRowBandSize w:val="1"/>
      <w:tblStyleColBandSize w:val="1"/>
      <w:tblCellMar>
        <w:left w:w="115" w:type="dxa"/>
        <w:right w:w="115" w:type="dxa"/>
      </w:tblCellMar>
    </w:tblPr>
  </w:style>
  <w:style w:type="table" w:customStyle="1" w:styleId="affffff1">
    <w:basedOn w:val="TableNormalffb"/>
    <w:rPr>
      <w:sz w:val="20"/>
      <w:szCs w:val="20"/>
    </w:rPr>
    <w:tblPr>
      <w:tblStyleRowBandSize w:val="1"/>
      <w:tblStyleColBandSize w:val="1"/>
      <w:tblCellMar>
        <w:left w:w="115" w:type="dxa"/>
        <w:right w:w="115" w:type="dxa"/>
      </w:tblCellMar>
    </w:tblPr>
  </w:style>
  <w:style w:type="table" w:customStyle="1" w:styleId="affffff2">
    <w:basedOn w:val="TableNormalffb"/>
    <w:rPr>
      <w:sz w:val="20"/>
      <w:szCs w:val="20"/>
    </w:rPr>
    <w:tblPr>
      <w:tblStyleRowBandSize w:val="1"/>
      <w:tblStyleColBandSize w:val="1"/>
      <w:tblCellMar>
        <w:left w:w="115" w:type="dxa"/>
        <w:right w:w="115" w:type="dxa"/>
      </w:tblCellMar>
    </w:tblPr>
  </w:style>
  <w:style w:type="table" w:customStyle="1" w:styleId="affffff3">
    <w:basedOn w:val="TableNormalffb"/>
    <w:rPr>
      <w:sz w:val="20"/>
      <w:szCs w:val="20"/>
    </w:rPr>
    <w:tblPr>
      <w:tblStyleRowBandSize w:val="1"/>
      <w:tblStyleColBandSize w:val="1"/>
      <w:tblCellMar>
        <w:left w:w="115" w:type="dxa"/>
        <w:right w:w="115" w:type="dxa"/>
      </w:tblCellMar>
    </w:tblPr>
  </w:style>
  <w:style w:type="table" w:customStyle="1" w:styleId="affffff4">
    <w:basedOn w:val="TableNormalffb"/>
    <w:rPr>
      <w:sz w:val="20"/>
      <w:szCs w:val="20"/>
    </w:rPr>
    <w:tblPr>
      <w:tblStyleRowBandSize w:val="1"/>
      <w:tblStyleColBandSize w:val="1"/>
      <w:tblCellMar>
        <w:left w:w="115" w:type="dxa"/>
        <w:right w:w="115" w:type="dxa"/>
      </w:tblCellMar>
    </w:tblPr>
  </w:style>
  <w:style w:type="table" w:customStyle="1" w:styleId="affffff5">
    <w:basedOn w:val="TableNormalffb"/>
    <w:rPr>
      <w:sz w:val="20"/>
      <w:szCs w:val="20"/>
    </w:rPr>
    <w:tblPr>
      <w:tblStyleRowBandSize w:val="1"/>
      <w:tblStyleColBandSize w:val="1"/>
      <w:tblCellMar>
        <w:left w:w="115" w:type="dxa"/>
        <w:right w:w="115" w:type="dxa"/>
      </w:tblCellMar>
    </w:tblPr>
  </w:style>
  <w:style w:type="table" w:customStyle="1" w:styleId="affffff6">
    <w:basedOn w:val="TableNormalffb"/>
    <w:rPr>
      <w:sz w:val="20"/>
      <w:szCs w:val="20"/>
    </w:rPr>
    <w:tblPr>
      <w:tblStyleRowBandSize w:val="1"/>
      <w:tblStyleColBandSize w:val="1"/>
      <w:tblCellMar>
        <w:left w:w="115" w:type="dxa"/>
        <w:right w:w="115" w:type="dxa"/>
      </w:tblCellMar>
    </w:tblPr>
  </w:style>
  <w:style w:type="table" w:customStyle="1" w:styleId="affffff7">
    <w:basedOn w:val="TableNormalffb"/>
    <w:rPr>
      <w:sz w:val="20"/>
      <w:szCs w:val="20"/>
    </w:rPr>
    <w:tblPr>
      <w:tblStyleRowBandSize w:val="1"/>
      <w:tblStyleColBandSize w:val="1"/>
      <w:tblCellMar>
        <w:left w:w="115" w:type="dxa"/>
        <w:right w:w="115" w:type="dxa"/>
      </w:tblCellMar>
    </w:tblPr>
  </w:style>
  <w:style w:type="table" w:customStyle="1" w:styleId="affffff8">
    <w:basedOn w:val="TableNormalffb"/>
    <w:rPr>
      <w:sz w:val="20"/>
      <w:szCs w:val="20"/>
    </w:rPr>
    <w:tblPr>
      <w:tblStyleRowBandSize w:val="1"/>
      <w:tblStyleColBandSize w:val="1"/>
      <w:tblCellMar>
        <w:left w:w="115" w:type="dxa"/>
        <w:right w:w="115" w:type="dxa"/>
      </w:tblCellMar>
    </w:tblPr>
  </w:style>
  <w:style w:type="table" w:customStyle="1" w:styleId="affffff9">
    <w:basedOn w:val="TableNormalffb"/>
    <w:rPr>
      <w:sz w:val="20"/>
      <w:szCs w:val="20"/>
    </w:rPr>
    <w:tblPr>
      <w:tblStyleRowBandSize w:val="1"/>
      <w:tblStyleColBandSize w:val="1"/>
      <w:tblCellMar>
        <w:left w:w="115" w:type="dxa"/>
        <w:right w:w="115" w:type="dxa"/>
      </w:tblCellMar>
    </w:tblPr>
  </w:style>
  <w:style w:type="table" w:customStyle="1" w:styleId="affffffa">
    <w:basedOn w:val="TableNormalffb"/>
    <w:rPr>
      <w:sz w:val="20"/>
      <w:szCs w:val="20"/>
    </w:rPr>
    <w:tblPr>
      <w:tblStyleRowBandSize w:val="1"/>
      <w:tblStyleColBandSize w:val="1"/>
      <w:tblCellMar>
        <w:left w:w="115" w:type="dxa"/>
        <w:right w:w="115" w:type="dxa"/>
      </w:tblCellMar>
    </w:tblPr>
  </w:style>
  <w:style w:type="table" w:customStyle="1" w:styleId="affffffb">
    <w:basedOn w:val="TableNormalffb"/>
    <w:rPr>
      <w:sz w:val="20"/>
      <w:szCs w:val="20"/>
    </w:rPr>
    <w:tblPr>
      <w:tblStyleRowBandSize w:val="1"/>
      <w:tblStyleColBandSize w:val="1"/>
      <w:tblCellMar>
        <w:left w:w="115" w:type="dxa"/>
        <w:right w:w="115" w:type="dxa"/>
      </w:tblCellMar>
    </w:tblPr>
  </w:style>
  <w:style w:type="table" w:customStyle="1" w:styleId="affffffc">
    <w:basedOn w:val="TableNormalffb"/>
    <w:rPr>
      <w:sz w:val="20"/>
      <w:szCs w:val="20"/>
    </w:rPr>
    <w:tblPr>
      <w:tblStyleRowBandSize w:val="1"/>
      <w:tblStyleColBandSize w:val="1"/>
      <w:tblCellMar>
        <w:left w:w="115" w:type="dxa"/>
        <w:right w:w="115" w:type="dxa"/>
      </w:tblCellMar>
    </w:tblPr>
  </w:style>
  <w:style w:type="table" w:customStyle="1" w:styleId="affffffd">
    <w:basedOn w:val="TableNormalffb"/>
    <w:rPr>
      <w:sz w:val="20"/>
      <w:szCs w:val="20"/>
    </w:rPr>
    <w:tblPr>
      <w:tblStyleRowBandSize w:val="1"/>
      <w:tblStyleColBandSize w:val="1"/>
      <w:tblCellMar>
        <w:left w:w="115" w:type="dxa"/>
        <w:right w:w="115" w:type="dxa"/>
      </w:tblCellMar>
    </w:tblPr>
  </w:style>
  <w:style w:type="table" w:customStyle="1" w:styleId="affffffe">
    <w:basedOn w:val="TableNormalffb"/>
    <w:rPr>
      <w:sz w:val="20"/>
      <w:szCs w:val="20"/>
    </w:rPr>
    <w:tblPr>
      <w:tblStyleRowBandSize w:val="1"/>
      <w:tblStyleColBandSize w:val="1"/>
      <w:tblCellMar>
        <w:left w:w="115" w:type="dxa"/>
        <w:right w:w="115" w:type="dxa"/>
      </w:tblCellMar>
    </w:tblPr>
  </w:style>
  <w:style w:type="table" w:customStyle="1" w:styleId="afffffff">
    <w:basedOn w:val="TableNormalffb"/>
    <w:rPr>
      <w:sz w:val="20"/>
      <w:szCs w:val="20"/>
    </w:rPr>
    <w:tblPr>
      <w:tblStyleRowBandSize w:val="1"/>
      <w:tblStyleColBandSize w:val="1"/>
      <w:tblCellMar>
        <w:left w:w="115" w:type="dxa"/>
        <w:right w:w="115" w:type="dxa"/>
      </w:tblCellMar>
    </w:tblPr>
  </w:style>
  <w:style w:type="table" w:customStyle="1" w:styleId="afffffff0">
    <w:basedOn w:val="TableNormalffb"/>
    <w:rPr>
      <w:sz w:val="20"/>
      <w:szCs w:val="20"/>
    </w:rPr>
    <w:tblPr>
      <w:tblStyleRowBandSize w:val="1"/>
      <w:tblStyleColBandSize w:val="1"/>
      <w:tblCellMar>
        <w:left w:w="115" w:type="dxa"/>
        <w:right w:w="115" w:type="dxa"/>
      </w:tblCellMar>
    </w:tblPr>
  </w:style>
  <w:style w:type="table" w:customStyle="1" w:styleId="afffffff1">
    <w:basedOn w:val="TableNormalffb"/>
    <w:rPr>
      <w:sz w:val="20"/>
      <w:szCs w:val="20"/>
    </w:rPr>
    <w:tblPr>
      <w:tblStyleRowBandSize w:val="1"/>
      <w:tblStyleColBandSize w:val="1"/>
      <w:tblCellMar>
        <w:left w:w="115" w:type="dxa"/>
        <w:right w:w="115" w:type="dxa"/>
      </w:tblCellMar>
    </w:tblPr>
  </w:style>
  <w:style w:type="table" w:customStyle="1" w:styleId="afffffff2">
    <w:basedOn w:val="TableNormalffb"/>
    <w:rPr>
      <w:sz w:val="20"/>
      <w:szCs w:val="20"/>
    </w:rPr>
    <w:tblPr>
      <w:tblStyleRowBandSize w:val="1"/>
      <w:tblStyleColBandSize w:val="1"/>
      <w:tblCellMar>
        <w:left w:w="115" w:type="dxa"/>
        <w:right w:w="115" w:type="dxa"/>
      </w:tblCellMar>
    </w:tblPr>
  </w:style>
  <w:style w:type="table" w:customStyle="1" w:styleId="afffffff3">
    <w:basedOn w:val="TableNormalffb"/>
    <w:rPr>
      <w:sz w:val="20"/>
      <w:szCs w:val="20"/>
    </w:rPr>
    <w:tblPr>
      <w:tblStyleRowBandSize w:val="1"/>
      <w:tblStyleColBandSize w:val="1"/>
      <w:tblCellMar>
        <w:left w:w="115" w:type="dxa"/>
        <w:right w:w="115" w:type="dxa"/>
      </w:tblCellMar>
    </w:tblPr>
  </w:style>
  <w:style w:type="table" w:customStyle="1" w:styleId="afffffff4">
    <w:basedOn w:val="TableNormalffb"/>
    <w:rPr>
      <w:sz w:val="20"/>
      <w:szCs w:val="20"/>
    </w:rPr>
    <w:tblPr>
      <w:tblStyleRowBandSize w:val="1"/>
      <w:tblStyleColBandSize w:val="1"/>
      <w:tblCellMar>
        <w:left w:w="115" w:type="dxa"/>
        <w:right w:w="115" w:type="dxa"/>
      </w:tblCellMar>
    </w:tblPr>
  </w:style>
  <w:style w:type="table" w:customStyle="1" w:styleId="afffffff5">
    <w:basedOn w:val="TableNormalffb"/>
    <w:rPr>
      <w:sz w:val="20"/>
      <w:szCs w:val="20"/>
    </w:rPr>
    <w:tblPr>
      <w:tblStyleRowBandSize w:val="1"/>
      <w:tblStyleColBandSize w:val="1"/>
      <w:tblCellMar>
        <w:left w:w="115" w:type="dxa"/>
        <w:right w:w="115" w:type="dxa"/>
      </w:tblCellMar>
    </w:tblPr>
  </w:style>
  <w:style w:type="table" w:customStyle="1" w:styleId="afffffff6">
    <w:basedOn w:val="TableNormalffb"/>
    <w:rPr>
      <w:sz w:val="20"/>
      <w:szCs w:val="20"/>
    </w:rPr>
    <w:tblPr>
      <w:tblStyleRowBandSize w:val="1"/>
      <w:tblStyleColBandSize w:val="1"/>
      <w:tblCellMar>
        <w:left w:w="115" w:type="dxa"/>
        <w:right w:w="115" w:type="dxa"/>
      </w:tblCellMar>
    </w:tblPr>
  </w:style>
  <w:style w:type="table" w:customStyle="1" w:styleId="afffffff7">
    <w:basedOn w:val="TableNormalffb"/>
    <w:rPr>
      <w:sz w:val="20"/>
      <w:szCs w:val="20"/>
    </w:rPr>
    <w:tblPr>
      <w:tblStyleRowBandSize w:val="1"/>
      <w:tblStyleColBandSize w:val="1"/>
      <w:tblCellMar>
        <w:left w:w="115" w:type="dxa"/>
        <w:right w:w="115" w:type="dxa"/>
      </w:tblCellMar>
    </w:tblPr>
  </w:style>
  <w:style w:type="table" w:customStyle="1" w:styleId="afffffff8">
    <w:basedOn w:val="TableNormalffb"/>
    <w:rPr>
      <w:sz w:val="20"/>
      <w:szCs w:val="20"/>
    </w:rPr>
    <w:tblPr>
      <w:tblStyleRowBandSize w:val="1"/>
      <w:tblStyleColBandSize w:val="1"/>
      <w:tblCellMar>
        <w:left w:w="115" w:type="dxa"/>
        <w:right w:w="115" w:type="dxa"/>
      </w:tblCellMar>
    </w:tblPr>
  </w:style>
  <w:style w:type="table" w:customStyle="1" w:styleId="afffffff9">
    <w:basedOn w:val="TableNormalffb"/>
    <w:rPr>
      <w:sz w:val="20"/>
      <w:szCs w:val="20"/>
    </w:rPr>
    <w:tblPr>
      <w:tblStyleRowBandSize w:val="1"/>
      <w:tblStyleColBandSize w:val="1"/>
      <w:tblCellMar>
        <w:left w:w="115" w:type="dxa"/>
        <w:right w:w="115" w:type="dxa"/>
      </w:tblCellMar>
    </w:tblPr>
  </w:style>
  <w:style w:type="table" w:customStyle="1" w:styleId="afffffffa">
    <w:basedOn w:val="TableNormalffb"/>
    <w:rPr>
      <w:sz w:val="20"/>
      <w:szCs w:val="20"/>
    </w:rPr>
    <w:tblPr>
      <w:tblStyleRowBandSize w:val="1"/>
      <w:tblStyleColBandSize w:val="1"/>
      <w:tblCellMar>
        <w:left w:w="115" w:type="dxa"/>
        <w:right w:w="115" w:type="dxa"/>
      </w:tblCellMar>
    </w:tblPr>
  </w:style>
  <w:style w:type="table" w:customStyle="1" w:styleId="afffffffb">
    <w:basedOn w:val="TableNormalffb"/>
    <w:rPr>
      <w:sz w:val="20"/>
      <w:szCs w:val="20"/>
    </w:rPr>
    <w:tblPr>
      <w:tblStyleRowBandSize w:val="1"/>
      <w:tblStyleColBandSize w:val="1"/>
      <w:tblCellMar>
        <w:left w:w="115" w:type="dxa"/>
        <w:right w:w="115" w:type="dxa"/>
      </w:tblCellMar>
    </w:tblPr>
  </w:style>
  <w:style w:type="table" w:customStyle="1" w:styleId="afffffffc">
    <w:basedOn w:val="TableNormalffb"/>
    <w:rPr>
      <w:sz w:val="20"/>
      <w:szCs w:val="20"/>
    </w:rPr>
    <w:tblPr>
      <w:tblStyleRowBandSize w:val="1"/>
      <w:tblStyleColBandSize w:val="1"/>
      <w:tblCellMar>
        <w:left w:w="115" w:type="dxa"/>
        <w:right w:w="115" w:type="dxa"/>
      </w:tblCellMar>
    </w:tblPr>
  </w:style>
  <w:style w:type="table" w:customStyle="1" w:styleId="afffffffd">
    <w:basedOn w:val="TableNormalffb"/>
    <w:rPr>
      <w:sz w:val="20"/>
      <w:szCs w:val="20"/>
    </w:rPr>
    <w:tblPr>
      <w:tblStyleRowBandSize w:val="1"/>
      <w:tblStyleColBandSize w:val="1"/>
      <w:tblCellMar>
        <w:left w:w="115" w:type="dxa"/>
        <w:right w:w="115" w:type="dxa"/>
      </w:tblCellMar>
    </w:tblPr>
  </w:style>
  <w:style w:type="table" w:customStyle="1" w:styleId="afffffffe">
    <w:basedOn w:val="TableNormalffb"/>
    <w:rPr>
      <w:sz w:val="20"/>
      <w:szCs w:val="20"/>
    </w:rPr>
    <w:tblPr>
      <w:tblStyleRowBandSize w:val="1"/>
      <w:tblStyleColBandSize w:val="1"/>
      <w:tblCellMar>
        <w:left w:w="115" w:type="dxa"/>
        <w:right w:w="115" w:type="dxa"/>
      </w:tblCellMar>
    </w:tblPr>
  </w:style>
  <w:style w:type="table" w:customStyle="1" w:styleId="affffffff">
    <w:basedOn w:val="TableNormalffb"/>
    <w:rPr>
      <w:sz w:val="20"/>
      <w:szCs w:val="20"/>
    </w:rPr>
    <w:tblPr>
      <w:tblStyleRowBandSize w:val="1"/>
      <w:tblStyleColBandSize w:val="1"/>
      <w:tblCellMar>
        <w:left w:w="115" w:type="dxa"/>
        <w:right w:w="115" w:type="dxa"/>
      </w:tblCellMar>
    </w:tblPr>
  </w:style>
  <w:style w:type="table" w:customStyle="1" w:styleId="affffffff0">
    <w:basedOn w:val="TableNormalffb"/>
    <w:rPr>
      <w:sz w:val="20"/>
      <w:szCs w:val="20"/>
    </w:rPr>
    <w:tblPr>
      <w:tblStyleRowBandSize w:val="1"/>
      <w:tblStyleColBandSize w:val="1"/>
      <w:tblCellMar>
        <w:left w:w="115" w:type="dxa"/>
        <w:right w:w="115" w:type="dxa"/>
      </w:tblCellMar>
    </w:tblPr>
  </w:style>
  <w:style w:type="table" w:customStyle="1" w:styleId="affffffff1">
    <w:basedOn w:val="TableNormalffb"/>
    <w:rPr>
      <w:sz w:val="20"/>
      <w:szCs w:val="20"/>
    </w:rPr>
    <w:tblPr>
      <w:tblStyleRowBandSize w:val="1"/>
      <w:tblStyleColBandSize w:val="1"/>
      <w:tblCellMar>
        <w:left w:w="115" w:type="dxa"/>
        <w:right w:w="115" w:type="dxa"/>
      </w:tblCellMar>
    </w:tblPr>
  </w:style>
  <w:style w:type="table" w:customStyle="1" w:styleId="affffffff2">
    <w:basedOn w:val="TableNormalffb"/>
    <w:rPr>
      <w:sz w:val="20"/>
      <w:szCs w:val="20"/>
    </w:rPr>
    <w:tblPr>
      <w:tblStyleRowBandSize w:val="1"/>
      <w:tblStyleColBandSize w:val="1"/>
      <w:tblCellMar>
        <w:left w:w="115" w:type="dxa"/>
        <w:right w:w="115" w:type="dxa"/>
      </w:tblCellMar>
    </w:tblPr>
  </w:style>
  <w:style w:type="table" w:customStyle="1" w:styleId="affffffff3">
    <w:basedOn w:val="TableNormalffb"/>
    <w:rPr>
      <w:sz w:val="20"/>
      <w:szCs w:val="20"/>
    </w:rPr>
    <w:tblPr>
      <w:tblStyleRowBandSize w:val="1"/>
      <w:tblStyleColBandSize w:val="1"/>
      <w:tblCellMar>
        <w:left w:w="115" w:type="dxa"/>
        <w:right w:w="115" w:type="dxa"/>
      </w:tblCellMar>
    </w:tblPr>
  </w:style>
  <w:style w:type="table" w:customStyle="1" w:styleId="affffffff4">
    <w:basedOn w:val="TableNormalffb"/>
    <w:rPr>
      <w:sz w:val="20"/>
      <w:szCs w:val="20"/>
    </w:rPr>
    <w:tblPr>
      <w:tblStyleRowBandSize w:val="1"/>
      <w:tblStyleColBandSize w:val="1"/>
      <w:tblCellMar>
        <w:left w:w="115" w:type="dxa"/>
        <w:right w:w="115" w:type="dxa"/>
      </w:tblCellMar>
    </w:tblPr>
  </w:style>
  <w:style w:type="table" w:customStyle="1" w:styleId="affffffff5">
    <w:basedOn w:val="TableNormalffb"/>
    <w:rPr>
      <w:sz w:val="20"/>
      <w:szCs w:val="20"/>
    </w:rPr>
    <w:tblPr>
      <w:tblStyleRowBandSize w:val="1"/>
      <w:tblStyleColBandSize w:val="1"/>
      <w:tblCellMar>
        <w:left w:w="115" w:type="dxa"/>
        <w:right w:w="115" w:type="dxa"/>
      </w:tblCellMar>
    </w:tblPr>
  </w:style>
  <w:style w:type="table" w:customStyle="1" w:styleId="affffffff6">
    <w:basedOn w:val="TableNormalffb"/>
    <w:rPr>
      <w:sz w:val="20"/>
      <w:szCs w:val="20"/>
    </w:rPr>
    <w:tblPr>
      <w:tblStyleRowBandSize w:val="1"/>
      <w:tblStyleColBandSize w:val="1"/>
      <w:tblCellMar>
        <w:left w:w="115" w:type="dxa"/>
        <w:right w:w="115" w:type="dxa"/>
      </w:tblCellMar>
    </w:tblPr>
  </w:style>
  <w:style w:type="table" w:customStyle="1" w:styleId="affffffff7">
    <w:basedOn w:val="TableNormalffb"/>
    <w:rPr>
      <w:sz w:val="20"/>
      <w:szCs w:val="20"/>
    </w:rPr>
    <w:tblPr>
      <w:tblStyleRowBandSize w:val="1"/>
      <w:tblStyleColBandSize w:val="1"/>
      <w:tblCellMar>
        <w:left w:w="115" w:type="dxa"/>
        <w:right w:w="115" w:type="dxa"/>
      </w:tblCellMar>
    </w:tblPr>
  </w:style>
  <w:style w:type="table" w:customStyle="1" w:styleId="affffffff8">
    <w:basedOn w:val="TableNormalffb"/>
    <w:rPr>
      <w:sz w:val="20"/>
      <w:szCs w:val="20"/>
    </w:rPr>
    <w:tblPr>
      <w:tblStyleRowBandSize w:val="1"/>
      <w:tblStyleColBandSize w:val="1"/>
      <w:tblCellMar>
        <w:left w:w="115" w:type="dxa"/>
        <w:right w:w="115" w:type="dxa"/>
      </w:tblCellMar>
    </w:tblPr>
  </w:style>
  <w:style w:type="table" w:customStyle="1" w:styleId="affffffff9">
    <w:basedOn w:val="TableNormalffb"/>
    <w:rPr>
      <w:sz w:val="20"/>
      <w:szCs w:val="20"/>
    </w:rPr>
    <w:tblPr>
      <w:tblStyleRowBandSize w:val="1"/>
      <w:tblStyleColBandSize w:val="1"/>
      <w:tblCellMar>
        <w:left w:w="115" w:type="dxa"/>
        <w:right w:w="115" w:type="dxa"/>
      </w:tblCellMar>
    </w:tblPr>
  </w:style>
  <w:style w:type="table" w:customStyle="1" w:styleId="affffffffa">
    <w:basedOn w:val="TableNormalffb"/>
    <w:rPr>
      <w:sz w:val="20"/>
      <w:szCs w:val="20"/>
    </w:rPr>
    <w:tblPr>
      <w:tblStyleRowBandSize w:val="1"/>
      <w:tblStyleColBandSize w:val="1"/>
      <w:tblCellMar>
        <w:left w:w="115" w:type="dxa"/>
        <w:right w:w="115" w:type="dxa"/>
      </w:tblCellMar>
    </w:tblPr>
  </w:style>
  <w:style w:type="table" w:customStyle="1" w:styleId="affffffffb">
    <w:basedOn w:val="TableNormalffb"/>
    <w:rPr>
      <w:sz w:val="20"/>
      <w:szCs w:val="20"/>
    </w:rPr>
    <w:tblPr>
      <w:tblStyleRowBandSize w:val="1"/>
      <w:tblStyleColBandSize w:val="1"/>
      <w:tblCellMar>
        <w:left w:w="115" w:type="dxa"/>
        <w:right w:w="115" w:type="dxa"/>
      </w:tblCellMar>
    </w:tblPr>
  </w:style>
  <w:style w:type="table" w:customStyle="1" w:styleId="affffffffc">
    <w:basedOn w:val="TableNormalffb"/>
    <w:rPr>
      <w:sz w:val="20"/>
      <w:szCs w:val="20"/>
    </w:rPr>
    <w:tblPr>
      <w:tblStyleRowBandSize w:val="1"/>
      <w:tblStyleColBandSize w:val="1"/>
      <w:tblCellMar>
        <w:left w:w="115" w:type="dxa"/>
        <w:right w:w="115" w:type="dxa"/>
      </w:tblCellMar>
    </w:tblPr>
  </w:style>
  <w:style w:type="table" w:customStyle="1" w:styleId="affffffffd">
    <w:basedOn w:val="TableNormalffb"/>
    <w:rPr>
      <w:sz w:val="20"/>
      <w:szCs w:val="20"/>
    </w:rPr>
    <w:tblPr>
      <w:tblStyleRowBandSize w:val="1"/>
      <w:tblStyleColBandSize w:val="1"/>
      <w:tblCellMar>
        <w:left w:w="115" w:type="dxa"/>
        <w:right w:w="115" w:type="dxa"/>
      </w:tblCellMar>
    </w:tblPr>
  </w:style>
  <w:style w:type="table" w:customStyle="1" w:styleId="affffffffe">
    <w:basedOn w:val="TableNormalffb"/>
    <w:rPr>
      <w:sz w:val="20"/>
      <w:szCs w:val="20"/>
    </w:rPr>
    <w:tblPr>
      <w:tblStyleRowBandSize w:val="1"/>
      <w:tblStyleColBandSize w:val="1"/>
      <w:tblCellMar>
        <w:left w:w="115" w:type="dxa"/>
        <w:right w:w="115" w:type="dxa"/>
      </w:tblCellMar>
    </w:tblPr>
  </w:style>
  <w:style w:type="table" w:customStyle="1" w:styleId="afffffffff">
    <w:basedOn w:val="TableNormalffb"/>
    <w:rPr>
      <w:sz w:val="20"/>
      <w:szCs w:val="20"/>
    </w:rPr>
    <w:tblPr>
      <w:tblStyleRowBandSize w:val="1"/>
      <w:tblStyleColBandSize w:val="1"/>
      <w:tblCellMar>
        <w:left w:w="115" w:type="dxa"/>
        <w:right w:w="115" w:type="dxa"/>
      </w:tblCellMar>
    </w:tblPr>
  </w:style>
  <w:style w:type="table" w:customStyle="1" w:styleId="afffffffff0">
    <w:basedOn w:val="TableNormalffb"/>
    <w:rPr>
      <w:sz w:val="20"/>
      <w:szCs w:val="20"/>
    </w:rPr>
    <w:tblPr>
      <w:tblStyleRowBandSize w:val="1"/>
      <w:tblStyleColBandSize w:val="1"/>
      <w:tblCellMar>
        <w:left w:w="115" w:type="dxa"/>
        <w:right w:w="115" w:type="dxa"/>
      </w:tblCellMar>
    </w:tblPr>
  </w:style>
  <w:style w:type="table" w:customStyle="1" w:styleId="afffffffff1">
    <w:basedOn w:val="TableNormalffb"/>
    <w:rPr>
      <w:sz w:val="20"/>
      <w:szCs w:val="20"/>
    </w:rPr>
    <w:tblPr>
      <w:tblStyleRowBandSize w:val="1"/>
      <w:tblStyleColBandSize w:val="1"/>
      <w:tblCellMar>
        <w:left w:w="115" w:type="dxa"/>
        <w:right w:w="115" w:type="dxa"/>
      </w:tblCellMar>
    </w:tblPr>
  </w:style>
  <w:style w:type="table" w:customStyle="1" w:styleId="afffffffff2">
    <w:basedOn w:val="TableNormalffb"/>
    <w:rPr>
      <w:sz w:val="20"/>
      <w:szCs w:val="20"/>
    </w:rPr>
    <w:tblPr>
      <w:tblStyleRowBandSize w:val="1"/>
      <w:tblStyleColBandSize w:val="1"/>
      <w:tblCellMar>
        <w:left w:w="115" w:type="dxa"/>
        <w:right w:w="115" w:type="dxa"/>
      </w:tblCellMar>
    </w:tblPr>
  </w:style>
  <w:style w:type="table" w:customStyle="1" w:styleId="afffffffff3">
    <w:basedOn w:val="TableNormalffb"/>
    <w:rPr>
      <w:sz w:val="20"/>
      <w:szCs w:val="20"/>
    </w:rPr>
    <w:tblPr>
      <w:tblStyleRowBandSize w:val="1"/>
      <w:tblStyleColBandSize w:val="1"/>
      <w:tblCellMar>
        <w:left w:w="115" w:type="dxa"/>
        <w:right w:w="115" w:type="dxa"/>
      </w:tblCellMar>
    </w:tblPr>
  </w:style>
  <w:style w:type="table" w:customStyle="1" w:styleId="afffffffff4">
    <w:basedOn w:val="TableNormalffb"/>
    <w:rPr>
      <w:sz w:val="20"/>
      <w:szCs w:val="20"/>
    </w:rPr>
    <w:tblPr>
      <w:tblStyleRowBandSize w:val="1"/>
      <w:tblStyleColBandSize w:val="1"/>
      <w:tblCellMar>
        <w:left w:w="115" w:type="dxa"/>
        <w:right w:w="115" w:type="dxa"/>
      </w:tblCellMar>
    </w:tblPr>
  </w:style>
  <w:style w:type="table" w:customStyle="1" w:styleId="afffffffff5">
    <w:basedOn w:val="TableNormalffb"/>
    <w:rPr>
      <w:sz w:val="20"/>
      <w:szCs w:val="20"/>
    </w:rPr>
    <w:tblPr>
      <w:tblStyleRowBandSize w:val="1"/>
      <w:tblStyleColBandSize w:val="1"/>
      <w:tblCellMar>
        <w:left w:w="115" w:type="dxa"/>
        <w:right w:w="115" w:type="dxa"/>
      </w:tblCellMar>
    </w:tblPr>
  </w:style>
  <w:style w:type="table" w:customStyle="1" w:styleId="afffffffff6">
    <w:basedOn w:val="TableNormalffb"/>
    <w:rPr>
      <w:sz w:val="20"/>
      <w:szCs w:val="20"/>
    </w:rPr>
    <w:tblPr>
      <w:tblStyleRowBandSize w:val="1"/>
      <w:tblStyleColBandSize w:val="1"/>
      <w:tblCellMar>
        <w:left w:w="115" w:type="dxa"/>
        <w:right w:w="115" w:type="dxa"/>
      </w:tblCellMar>
    </w:tblPr>
  </w:style>
  <w:style w:type="table" w:customStyle="1" w:styleId="afffffffff7">
    <w:basedOn w:val="TableNormalffb"/>
    <w:rPr>
      <w:sz w:val="20"/>
      <w:szCs w:val="20"/>
    </w:rPr>
    <w:tblPr>
      <w:tblStyleRowBandSize w:val="1"/>
      <w:tblStyleColBandSize w:val="1"/>
      <w:tblCellMar>
        <w:left w:w="115" w:type="dxa"/>
        <w:right w:w="115" w:type="dxa"/>
      </w:tblCellMar>
    </w:tblPr>
  </w:style>
  <w:style w:type="table" w:customStyle="1" w:styleId="afffffffff8">
    <w:basedOn w:val="TableNormalffb"/>
    <w:rPr>
      <w:sz w:val="20"/>
      <w:szCs w:val="20"/>
    </w:rPr>
    <w:tblPr>
      <w:tblStyleRowBandSize w:val="1"/>
      <w:tblStyleColBandSize w:val="1"/>
      <w:tblCellMar>
        <w:left w:w="115" w:type="dxa"/>
        <w:right w:w="115" w:type="dxa"/>
      </w:tblCellMar>
    </w:tblPr>
  </w:style>
  <w:style w:type="table" w:customStyle="1" w:styleId="afffffffff9">
    <w:basedOn w:val="TableNormalffb"/>
    <w:rPr>
      <w:sz w:val="20"/>
      <w:szCs w:val="20"/>
    </w:rPr>
    <w:tblPr>
      <w:tblStyleRowBandSize w:val="1"/>
      <w:tblStyleColBandSize w:val="1"/>
      <w:tblCellMar>
        <w:left w:w="115" w:type="dxa"/>
        <w:right w:w="115" w:type="dxa"/>
      </w:tblCellMar>
    </w:tblPr>
  </w:style>
  <w:style w:type="table" w:customStyle="1" w:styleId="afffffffffa">
    <w:basedOn w:val="TableNormalffb"/>
    <w:rPr>
      <w:sz w:val="20"/>
      <w:szCs w:val="20"/>
    </w:rPr>
    <w:tblPr>
      <w:tblStyleRowBandSize w:val="1"/>
      <w:tblStyleColBandSize w:val="1"/>
      <w:tblCellMar>
        <w:left w:w="115" w:type="dxa"/>
        <w:right w:w="115" w:type="dxa"/>
      </w:tblCellMar>
    </w:tblPr>
  </w:style>
  <w:style w:type="table" w:customStyle="1" w:styleId="afffffffffb">
    <w:basedOn w:val="TableNormalffb"/>
    <w:rPr>
      <w:sz w:val="20"/>
      <w:szCs w:val="20"/>
    </w:rPr>
    <w:tblPr>
      <w:tblStyleRowBandSize w:val="1"/>
      <w:tblStyleColBandSize w:val="1"/>
      <w:tblCellMar>
        <w:left w:w="115" w:type="dxa"/>
        <w:right w:w="115" w:type="dxa"/>
      </w:tblCellMar>
    </w:tblPr>
  </w:style>
  <w:style w:type="table" w:customStyle="1" w:styleId="afffffffffc">
    <w:basedOn w:val="TableNormalffb"/>
    <w:rPr>
      <w:sz w:val="20"/>
      <w:szCs w:val="20"/>
    </w:rPr>
    <w:tblPr>
      <w:tblStyleRowBandSize w:val="1"/>
      <w:tblStyleColBandSize w:val="1"/>
      <w:tblCellMar>
        <w:left w:w="115" w:type="dxa"/>
        <w:right w:w="115" w:type="dxa"/>
      </w:tblCellMar>
    </w:tblPr>
  </w:style>
  <w:style w:type="table" w:customStyle="1" w:styleId="afffffffffd">
    <w:basedOn w:val="TableNormalffb"/>
    <w:rPr>
      <w:sz w:val="20"/>
      <w:szCs w:val="20"/>
    </w:rPr>
    <w:tblPr>
      <w:tblStyleRowBandSize w:val="1"/>
      <w:tblStyleColBandSize w:val="1"/>
      <w:tblCellMar>
        <w:left w:w="115" w:type="dxa"/>
        <w:right w:w="115" w:type="dxa"/>
      </w:tblCellMar>
    </w:tblPr>
  </w:style>
  <w:style w:type="table" w:customStyle="1" w:styleId="afffffffffe">
    <w:basedOn w:val="TableNormalffb"/>
    <w:rPr>
      <w:sz w:val="20"/>
      <w:szCs w:val="20"/>
    </w:rPr>
    <w:tblPr>
      <w:tblStyleRowBandSize w:val="1"/>
      <w:tblStyleColBandSize w:val="1"/>
      <w:tblCellMar>
        <w:left w:w="115" w:type="dxa"/>
        <w:right w:w="115" w:type="dxa"/>
      </w:tblCellMar>
    </w:tblPr>
  </w:style>
  <w:style w:type="table" w:customStyle="1" w:styleId="affffffffff">
    <w:basedOn w:val="TableNormalffb"/>
    <w:rPr>
      <w:sz w:val="20"/>
      <w:szCs w:val="20"/>
    </w:rPr>
    <w:tblPr>
      <w:tblStyleRowBandSize w:val="1"/>
      <w:tblStyleColBandSize w:val="1"/>
      <w:tblCellMar>
        <w:left w:w="115" w:type="dxa"/>
        <w:right w:w="115" w:type="dxa"/>
      </w:tblCellMar>
    </w:tblPr>
  </w:style>
  <w:style w:type="table" w:customStyle="1" w:styleId="affffffffff0">
    <w:basedOn w:val="TableNormalffb"/>
    <w:rPr>
      <w:sz w:val="20"/>
      <w:szCs w:val="20"/>
    </w:rPr>
    <w:tblPr>
      <w:tblStyleRowBandSize w:val="1"/>
      <w:tblStyleColBandSize w:val="1"/>
      <w:tblCellMar>
        <w:left w:w="115" w:type="dxa"/>
        <w:right w:w="115" w:type="dxa"/>
      </w:tblCellMar>
    </w:tblPr>
  </w:style>
  <w:style w:type="table" w:customStyle="1" w:styleId="affffffffff1">
    <w:basedOn w:val="TableNormalffb"/>
    <w:rPr>
      <w:sz w:val="20"/>
      <w:szCs w:val="20"/>
    </w:rPr>
    <w:tblPr>
      <w:tblStyleRowBandSize w:val="1"/>
      <w:tblStyleColBandSize w:val="1"/>
      <w:tblCellMar>
        <w:left w:w="115" w:type="dxa"/>
        <w:right w:w="115" w:type="dxa"/>
      </w:tblCellMar>
    </w:tblPr>
  </w:style>
  <w:style w:type="table" w:customStyle="1" w:styleId="affffffffff2">
    <w:basedOn w:val="TableNormalffb"/>
    <w:rPr>
      <w:sz w:val="20"/>
      <w:szCs w:val="20"/>
    </w:rPr>
    <w:tblPr>
      <w:tblStyleRowBandSize w:val="1"/>
      <w:tblStyleColBandSize w:val="1"/>
      <w:tblCellMar>
        <w:left w:w="115" w:type="dxa"/>
        <w:right w:w="115" w:type="dxa"/>
      </w:tblCellMar>
    </w:tblPr>
  </w:style>
  <w:style w:type="table" w:customStyle="1" w:styleId="affffffffff3">
    <w:basedOn w:val="TableNormalffb"/>
    <w:rPr>
      <w:sz w:val="20"/>
      <w:szCs w:val="20"/>
    </w:rPr>
    <w:tblPr>
      <w:tblStyleRowBandSize w:val="1"/>
      <w:tblStyleColBandSize w:val="1"/>
      <w:tblCellMar>
        <w:left w:w="115" w:type="dxa"/>
        <w:right w:w="115" w:type="dxa"/>
      </w:tblCellMar>
    </w:tblPr>
  </w:style>
  <w:style w:type="table" w:customStyle="1" w:styleId="affffffffff4">
    <w:basedOn w:val="TableNormalffb"/>
    <w:rPr>
      <w:sz w:val="20"/>
      <w:szCs w:val="20"/>
    </w:rPr>
    <w:tblPr>
      <w:tblStyleRowBandSize w:val="1"/>
      <w:tblStyleColBandSize w:val="1"/>
      <w:tblCellMar>
        <w:left w:w="115" w:type="dxa"/>
        <w:right w:w="115" w:type="dxa"/>
      </w:tblCellMar>
    </w:tblPr>
  </w:style>
  <w:style w:type="table" w:customStyle="1" w:styleId="affffffffff5">
    <w:basedOn w:val="TableNormalffb"/>
    <w:rPr>
      <w:sz w:val="20"/>
      <w:szCs w:val="20"/>
    </w:rPr>
    <w:tblPr>
      <w:tblStyleRowBandSize w:val="1"/>
      <w:tblStyleColBandSize w:val="1"/>
      <w:tblCellMar>
        <w:left w:w="115" w:type="dxa"/>
        <w:right w:w="115" w:type="dxa"/>
      </w:tblCellMar>
    </w:tblPr>
  </w:style>
  <w:style w:type="table" w:customStyle="1" w:styleId="affffffffff6">
    <w:basedOn w:val="TableNormalffb"/>
    <w:rPr>
      <w:sz w:val="20"/>
      <w:szCs w:val="20"/>
    </w:rPr>
    <w:tblPr>
      <w:tblStyleRowBandSize w:val="1"/>
      <w:tblStyleColBandSize w:val="1"/>
      <w:tblCellMar>
        <w:left w:w="115" w:type="dxa"/>
        <w:right w:w="115" w:type="dxa"/>
      </w:tblCellMar>
    </w:tblPr>
  </w:style>
  <w:style w:type="table" w:customStyle="1" w:styleId="affffffffff7">
    <w:basedOn w:val="TableNormalffb"/>
    <w:rPr>
      <w:sz w:val="20"/>
      <w:szCs w:val="20"/>
    </w:rPr>
    <w:tblPr>
      <w:tblStyleRowBandSize w:val="1"/>
      <w:tblStyleColBandSize w:val="1"/>
      <w:tblCellMar>
        <w:left w:w="115" w:type="dxa"/>
        <w:right w:w="115" w:type="dxa"/>
      </w:tblCellMar>
    </w:tblPr>
  </w:style>
  <w:style w:type="table" w:customStyle="1" w:styleId="affffffffff8">
    <w:basedOn w:val="TableNormalffb"/>
    <w:rPr>
      <w:sz w:val="20"/>
      <w:szCs w:val="20"/>
    </w:rPr>
    <w:tblPr>
      <w:tblStyleRowBandSize w:val="1"/>
      <w:tblStyleColBandSize w:val="1"/>
      <w:tblCellMar>
        <w:left w:w="115" w:type="dxa"/>
        <w:right w:w="115" w:type="dxa"/>
      </w:tblCellMar>
    </w:tblPr>
  </w:style>
  <w:style w:type="table" w:customStyle="1" w:styleId="affffffffff9">
    <w:basedOn w:val="TableNormalffb"/>
    <w:rPr>
      <w:sz w:val="20"/>
      <w:szCs w:val="20"/>
    </w:rPr>
    <w:tblPr>
      <w:tblStyleRowBandSize w:val="1"/>
      <w:tblStyleColBandSize w:val="1"/>
      <w:tblCellMar>
        <w:left w:w="115" w:type="dxa"/>
        <w:right w:w="115" w:type="dxa"/>
      </w:tblCellMar>
    </w:tblPr>
  </w:style>
  <w:style w:type="table" w:customStyle="1" w:styleId="affffffffffa">
    <w:basedOn w:val="TableNormalffb"/>
    <w:rPr>
      <w:sz w:val="20"/>
      <w:szCs w:val="20"/>
    </w:rPr>
    <w:tblPr>
      <w:tblStyleRowBandSize w:val="1"/>
      <w:tblStyleColBandSize w:val="1"/>
      <w:tblCellMar>
        <w:left w:w="115" w:type="dxa"/>
        <w:right w:w="115" w:type="dxa"/>
      </w:tblCellMar>
    </w:tblPr>
  </w:style>
  <w:style w:type="table" w:customStyle="1" w:styleId="affffffffffb">
    <w:basedOn w:val="TableNormalffb"/>
    <w:rPr>
      <w:sz w:val="20"/>
      <w:szCs w:val="20"/>
    </w:rPr>
    <w:tblPr>
      <w:tblStyleRowBandSize w:val="1"/>
      <w:tblStyleColBandSize w:val="1"/>
      <w:tblCellMar>
        <w:left w:w="115" w:type="dxa"/>
        <w:right w:w="115" w:type="dxa"/>
      </w:tblCellMar>
    </w:tblPr>
  </w:style>
  <w:style w:type="table" w:customStyle="1" w:styleId="affffffffffc">
    <w:basedOn w:val="TableNormalffb"/>
    <w:rPr>
      <w:sz w:val="20"/>
      <w:szCs w:val="20"/>
    </w:rPr>
    <w:tblPr>
      <w:tblStyleRowBandSize w:val="1"/>
      <w:tblStyleColBandSize w:val="1"/>
      <w:tblCellMar>
        <w:left w:w="115" w:type="dxa"/>
        <w:right w:w="115" w:type="dxa"/>
      </w:tblCellMar>
    </w:tblPr>
  </w:style>
  <w:style w:type="table" w:customStyle="1" w:styleId="affffffffffd">
    <w:basedOn w:val="TableNormalffb"/>
    <w:rPr>
      <w:sz w:val="20"/>
      <w:szCs w:val="20"/>
    </w:rPr>
    <w:tblPr>
      <w:tblStyleRowBandSize w:val="1"/>
      <w:tblStyleColBandSize w:val="1"/>
      <w:tblCellMar>
        <w:left w:w="115" w:type="dxa"/>
        <w:right w:w="115" w:type="dxa"/>
      </w:tblCellMar>
    </w:tblPr>
  </w:style>
  <w:style w:type="table" w:customStyle="1" w:styleId="affffffffffe">
    <w:basedOn w:val="TableNormalffb"/>
    <w:rPr>
      <w:sz w:val="20"/>
      <w:szCs w:val="20"/>
    </w:rPr>
    <w:tblPr>
      <w:tblStyleRowBandSize w:val="1"/>
      <w:tblStyleColBandSize w:val="1"/>
      <w:tblCellMar>
        <w:left w:w="115" w:type="dxa"/>
        <w:right w:w="115" w:type="dxa"/>
      </w:tblCellMar>
    </w:tblPr>
  </w:style>
  <w:style w:type="table" w:customStyle="1" w:styleId="afffffffffff">
    <w:basedOn w:val="TableNormalffb"/>
    <w:rPr>
      <w:sz w:val="20"/>
      <w:szCs w:val="20"/>
    </w:rPr>
    <w:tblPr>
      <w:tblStyleRowBandSize w:val="1"/>
      <w:tblStyleColBandSize w:val="1"/>
      <w:tblCellMar>
        <w:left w:w="115" w:type="dxa"/>
        <w:right w:w="115" w:type="dxa"/>
      </w:tblCellMar>
    </w:tblPr>
  </w:style>
  <w:style w:type="table" w:customStyle="1" w:styleId="afffffffffff0">
    <w:basedOn w:val="TableNormalffb"/>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juzJgLlCoJYVNmaVRE0HQ9auVw==">CgMxLjAyCGguZ2pkZ3hzOAByITFiQVJJSENrU20wSDNOOTZobDhtS3FGczFMaEZsM3RhOQ==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1403</Words>
  <Characters>7998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Тарас</dc:creator>
  <cp:lastModifiedBy>Тарас</cp:lastModifiedBy>
  <cp:revision>2</cp:revision>
  <dcterms:created xsi:type="dcterms:W3CDTF">2023-12-28T13:16:00Z</dcterms:created>
  <dcterms:modified xsi:type="dcterms:W3CDTF">2023-12-28T13:16:00Z</dcterms:modified>
</cp:coreProperties>
</file>