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2E9EC8E3" w:rsidR="003243F7" w:rsidRPr="004C64B4" w:rsidRDefault="004C64B4">
            <w:pPr>
              <w:spacing w:line="240" w:lineRule="auto"/>
              <w:ind w:left="4" w:hanging="6"/>
              <w:jc w:val="right"/>
              <w:rPr>
                <w:rFonts w:ascii="Times New Roman" w:hAnsi="Times New Roman" w:cs="Times New Roman"/>
                <w:sz w:val="24"/>
                <w:szCs w:val="24"/>
                <w:lang w:val="en-US"/>
              </w:rPr>
            </w:pPr>
            <w:r>
              <w:rPr>
                <w:rFonts w:ascii="Times New Roman" w:hAnsi="Times New Roman" w:cs="Times New Roman"/>
                <w:b/>
                <w:sz w:val="56"/>
                <w:szCs w:val="56"/>
                <w:lang w:val="en-US"/>
              </w:rPr>
              <w:t>10434</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W w:w="9576" w:type="dxa"/>
        <w:tblInd w:w="-110" w:type="dxa"/>
        <w:tblLayout w:type="fixed"/>
        <w:tblLook w:val="0000" w:firstRow="0" w:lastRow="0" w:firstColumn="0" w:lastColumn="0" w:noHBand="0" w:noVBand="0"/>
      </w:tblPr>
      <w:tblGrid>
        <w:gridCol w:w="2552"/>
        <w:gridCol w:w="7024"/>
      </w:tblGrid>
      <w:tr w:rsidR="004C64B4" w:rsidRPr="004C64B4" w14:paraId="429FBE6C" w14:textId="77777777" w:rsidTr="00296585">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63C48E5A"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b/>
                <w:color w:val="auto"/>
                <w:position w:val="0"/>
                <w:sz w:val="24"/>
                <w:szCs w:val="24"/>
              </w:rPr>
              <w:t xml:space="preserve">Назва </w:t>
            </w:r>
            <w:proofErr w:type="spellStart"/>
            <w:r w:rsidRPr="004C64B4">
              <w:rPr>
                <w:rFonts w:ascii="Times New Roman" w:hAnsi="Times New Roman" w:cs="Times New Roman"/>
                <w:b/>
                <w:color w:val="auto"/>
                <w:position w:val="0"/>
                <w:sz w:val="24"/>
                <w:szCs w:val="24"/>
              </w:rPr>
              <w:t>акта</w:t>
            </w:r>
            <w:proofErr w:type="spellEnd"/>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14:paraId="0695F9E0"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2"/>
              <w:rPr>
                <w:rFonts w:ascii="Times New Roman" w:hAnsi="Times New Roman" w:cs="Times New Roman"/>
                <w:position w:val="0"/>
                <w:sz w:val="24"/>
                <w:szCs w:val="24"/>
              </w:rPr>
            </w:pPr>
            <w:r w:rsidRPr="004C64B4">
              <w:rPr>
                <w:rFonts w:ascii="Times New Roman" w:hAnsi="Times New Roman" w:cs="Times New Roman"/>
                <w:position w:val="0"/>
                <w:sz w:val="24"/>
                <w:szCs w:val="24"/>
              </w:rPr>
              <w:t>Про внесення змін до Закону України "Про санкції" щодо синхронізації застосування санкцій Україною та міжнародним співтовариством</w:t>
            </w:r>
          </w:p>
        </w:tc>
      </w:tr>
      <w:tr w:rsidR="004C64B4" w:rsidRPr="004C64B4" w14:paraId="1C5B493B" w14:textId="77777777" w:rsidTr="004C64B4">
        <w:trPr>
          <w:trHeight w:val="122"/>
        </w:trPr>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055909FB"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b/>
                <w:color w:val="auto"/>
                <w:position w:val="0"/>
                <w:sz w:val="24"/>
                <w:szCs w:val="24"/>
              </w:rPr>
              <w:t>Дата реєстрації</w:t>
            </w:r>
          </w:p>
        </w:tc>
        <w:tc>
          <w:tcPr>
            <w:tcW w:w="7024" w:type="dxa"/>
            <w:tcBorders>
              <w:bottom w:val="single" w:sz="8" w:space="0" w:color="BFBFBF"/>
              <w:right w:val="single" w:sz="8" w:space="0" w:color="BFBFBF"/>
            </w:tcBorders>
            <w:tcMar>
              <w:top w:w="100" w:type="dxa"/>
              <w:left w:w="100" w:type="dxa"/>
              <w:bottom w:w="100" w:type="dxa"/>
              <w:right w:w="100" w:type="dxa"/>
            </w:tcMar>
          </w:tcPr>
          <w:p w14:paraId="43E0A65E"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25.01.2023</w:t>
            </w:r>
          </w:p>
        </w:tc>
      </w:tr>
      <w:tr w:rsidR="004C64B4" w:rsidRPr="004C64B4" w14:paraId="58FEA571" w14:textId="77777777" w:rsidTr="00296585">
        <w:trPr>
          <w:trHeight w:val="1290"/>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7515112E"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14:paraId="44410D1E"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Народні депутати України</w:t>
            </w:r>
            <w:r w:rsidRPr="004C64B4">
              <w:rPr>
                <w:rFonts w:ascii="Times New Roman" w:hAnsi="Times New Roman" w:cs="Times New Roman"/>
                <w:color w:val="auto"/>
                <w:position w:val="0"/>
                <w:sz w:val="24"/>
                <w:szCs w:val="24"/>
              </w:rPr>
              <w:br/>
              <w:t>Порошенко Петро Олексійович</w:t>
            </w:r>
          </w:p>
          <w:p w14:paraId="0EA11809"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Герасимов Артур Володимирович</w:t>
            </w:r>
          </w:p>
          <w:p w14:paraId="5523C678"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Геращенко Ірина Володимирівна</w:t>
            </w:r>
          </w:p>
          <w:p w14:paraId="5881C215"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Іонова</w:t>
            </w:r>
            <w:proofErr w:type="spellEnd"/>
            <w:r w:rsidRPr="004C64B4">
              <w:rPr>
                <w:rFonts w:ascii="Times New Roman" w:hAnsi="Times New Roman" w:cs="Times New Roman"/>
                <w:color w:val="auto"/>
                <w:position w:val="0"/>
                <w:sz w:val="24"/>
                <w:szCs w:val="24"/>
              </w:rPr>
              <w:t xml:space="preserve"> Марія Миколаївна </w:t>
            </w:r>
          </w:p>
          <w:p w14:paraId="04FF8D54"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Величкович</w:t>
            </w:r>
            <w:proofErr w:type="spellEnd"/>
            <w:r w:rsidRPr="004C64B4">
              <w:rPr>
                <w:rFonts w:ascii="Times New Roman" w:hAnsi="Times New Roman" w:cs="Times New Roman"/>
                <w:color w:val="auto"/>
                <w:position w:val="0"/>
                <w:sz w:val="24"/>
                <w:szCs w:val="24"/>
              </w:rPr>
              <w:t xml:space="preserve"> Микола Романович</w:t>
            </w:r>
          </w:p>
          <w:p w14:paraId="5ADD7FFE"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Княжицький</w:t>
            </w:r>
            <w:proofErr w:type="spellEnd"/>
            <w:r w:rsidRPr="004C64B4">
              <w:rPr>
                <w:rFonts w:ascii="Times New Roman" w:hAnsi="Times New Roman" w:cs="Times New Roman"/>
                <w:color w:val="auto"/>
                <w:position w:val="0"/>
                <w:sz w:val="24"/>
                <w:szCs w:val="24"/>
              </w:rPr>
              <w:t xml:space="preserve"> Микола Леонідович</w:t>
            </w:r>
          </w:p>
          <w:p w14:paraId="7E84211D"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Бондар Михайло Леонтійович</w:t>
            </w:r>
          </w:p>
          <w:p w14:paraId="2DF760AE"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Синютка</w:t>
            </w:r>
            <w:proofErr w:type="spellEnd"/>
            <w:r w:rsidRPr="004C64B4">
              <w:rPr>
                <w:rFonts w:ascii="Times New Roman" w:hAnsi="Times New Roman" w:cs="Times New Roman"/>
                <w:color w:val="auto"/>
                <w:position w:val="0"/>
                <w:sz w:val="24"/>
                <w:szCs w:val="24"/>
              </w:rPr>
              <w:t xml:space="preserve"> Олег Михайлович</w:t>
            </w:r>
          </w:p>
          <w:p w14:paraId="0644B287"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Павленко Ростислав Миколайович</w:t>
            </w:r>
          </w:p>
          <w:p w14:paraId="1481AB2E"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Фріз</w:t>
            </w:r>
            <w:proofErr w:type="spellEnd"/>
            <w:r w:rsidRPr="004C64B4">
              <w:rPr>
                <w:rFonts w:ascii="Times New Roman" w:hAnsi="Times New Roman" w:cs="Times New Roman"/>
                <w:color w:val="auto"/>
                <w:position w:val="0"/>
                <w:sz w:val="24"/>
                <w:szCs w:val="24"/>
              </w:rPr>
              <w:t xml:space="preserve"> Ірина Василівна</w:t>
            </w:r>
          </w:p>
          <w:p w14:paraId="4D90B7C9"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Никорак</w:t>
            </w:r>
            <w:proofErr w:type="spellEnd"/>
            <w:r w:rsidRPr="004C64B4">
              <w:rPr>
                <w:rFonts w:ascii="Times New Roman" w:hAnsi="Times New Roman" w:cs="Times New Roman"/>
                <w:color w:val="auto"/>
                <w:position w:val="0"/>
                <w:sz w:val="24"/>
                <w:szCs w:val="24"/>
              </w:rPr>
              <w:t xml:space="preserve"> Ірина Петрівна</w:t>
            </w:r>
          </w:p>
          <w:p w14:paraId="43E77D13"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В'ятрович</w:t>
            </w:r>
            <w:proofErr w:type="spellEnd"/>
            <w:r w:rsidRPr="004C64B4">
              <w:rPr>
                <w:rFonts w:ascii="Times New Roman" w:hAnsi="Times New Roman" w:cs="Times New Roman"/>
                <w:color w:val="auto"/>
                <w:position w:val="0"/>
                <w:sz w:val="24"/>
                <w:szCs w:val="24"/>
              </w:rPr>
              <w:t xml:space="preserve"> Володимир Михайлович</w:t>
            </w:r>
          </w:p>
          <w:p w14:paraId="22B620B0"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Климпуш-Цинцадзе</w:t>
            </w:r>
            <w:proofErr w:type="spellEnd"/>
            <w:r w:rsidRPr="004C64B4">
              <w:rPr>
                <w:rFonts w:ascii="Times New Roman" w:hAnsi="Times New Roman" w:cs="Times New Roman"/>
                <w:color w:val="auto"/>
                <w:position w:val="0"/>
                <w:sz w:val="24"/>
                <w:szCs w:val="24"/>
              </w:rPr>
              <w:t xml:space="preserve"> Іванна Орестівна</w:t>
            </w:r>
          </w:p>
          <w:p w14:paraId="4010D129"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Саврасов</w:t>
            </w:r>
            <w:proofErr w:type="spellEnd"/>
            <w:r w:rsidRPr="004C64B4">
              <w:rPr>
                <w:rFonts w:ascii="Times New Roman" w:hAnsi="Times New Roman" w:cs="Times New Roman"/>
                <w:color w:val="auto"/>
                <w:position w:val="0"/>
                <w:sz w:val="24"/>
                <w:szCs w:val="24"/>
              </w:rPr>
              <w:t xml:space="preserve"> Максим Віталійович</w:t>
            </w:r>
          </w:p>
          <w:p w14:paraId="6034E7D6"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Зінкевич Яна Вадимівна</w:t>
            </w:r>
          </w:p>
          <w:p w14:paraId="68AEE3B1"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Кубів Степан Іванович</w:t>
            </w:r>
          </w:p>
          <w:p w14:paraId="1861ED2C"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Федина</w:t>
            </w:r>
            <w:proofErr w:type="spellEnd"/>
            <w:r w:rsidRPr="004C64B4">
              <w:rPr>
                <w:rFonts w:ascii="Times New Roman" w:hAnsi="Times New Roman" w:cs="Times New Roman"/>
                <w:color w:val="auto"/>
                <w:position w:val="0"/>
                <w:sz w:val="24"/>
                <w:szCs w:val="24"/>
              </w:rPr>
              <w:t xml:space="preserve"> Софія Романівна</w:t>
            </w:r>
          </w:p>
          <w:p w14:paraId="7FD46BB9"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Князевич Руслан Петрович</w:t>
            </w:r>
          </w:p>
          <w:p w14:paraId="1335A7FF"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Гончаренко Олексій Олексійович</w:t>
            </w:r>
          </w:p>
          <w:p w14:paraId="0C7AAAFF" w14:textId="77777777" w:rsidR="004C64B4" w:rsidRPr="004C64B4" w:rsidRDefault="004C64B4" w:rsidP="004C64B4">
            <w:pPr>
              <w:shd w:val="clear" w:color="auto" w:fill="FFFFFF"/>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Ар'єв</w:t>
            </w:r>
            <w:proofErr w:type="spellEnd"/>
            <w:r w:rsidRPr="004C64B4">
              <w:rPr>
                <w:rFonts w:ascii="Times New Roman" w:hAnsi="Times New Roman" w:cs="Times New Roman"/>
                <w:color w:val="auto"/>
                <w:position w:val="0"/>
                <w:sz w:val="24"/>
                <w:szCs w:val="24"/>
              </w:rPr>
              <w:t xml:space="preserve"> Володимир Ігорович</w:t>
            </w:r>
          </w:p>
        </w:tc>
      </w:tr>
      <w:tr w:rsidR="004C64B4" w:rsidRPr="004C64B4" w14:paraId="1BFC5E1F" w14:textId="77777777" w:rsidTr="00296585">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3C1DD1B8"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14:paraId="5F03485F"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Комітет з питань національної безпеки, оборони та розвідки</w:t>
            </w:r>
          </w:p>
        </w:tc>
      </w:tr>
      <w:tr w:rsidR="004C64B4" w:rsidRPr="004C64B4" w14:paraId="05639956" w14:textId="77777777" w:rsidTr="00296585">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3BB39D89"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b/>
                <w:color w:val="auto"/>
                <w:position w:val="0"/>
                <w:sz w:val="24"/>
                <w:szCs w:val="24"/>
              </w:rPr>
              <w:t xml:space="preserve">Висновок та рекомендації </w:t>
            </w:r>
          </w:p>
        </w:tc>
        <w:tc>
          <w:tcPr>
            <w:tcW w:w="7024" w:type="dxa"/>
            <w:tcBorders>
              <w:bottom w:val="single" w:sz="8" w:space="0" w:color="BFBFBF"/>
              <w:right w:val="single" w:sz="8" w:space="0" w:color="BFBFBF"/>
            </w:tcBorders>
            <w:tcMar>
              <w:top w:w="100" w:type="dxa"/>
              <w:left w:w="100" w:type="dxa"/>
              <w:bottom w:w="100" w:type="dxa"/>
              <w:right w:w="100" w:type="dxa"/>
            </w:tcMar>
          </w:tcPr>
          <w:p w14:paraId="74AF552D" w14:textId="77777777" w:rsidR="004C64B4" w:rsidRPr="004C64B4" w:rsidRDefault="004C64B4" w:rsidP="004C64B4">
            <w:pPr>
              <w:suppressAutoHyphens w:val="0"/>
              <w:spacing w:line="240" w:lineRule="auto"/>
              <w:ind w:leftChars="0" w:left="0" w:firstLineChars="0" w:firstLine="0"/>
              <w:jc w:val="center"/>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Зауваження - Не містить </w:t>
            </w:r>
            <w:proofErr w:type="spellStart"/>
            <w:r w:rsidRPr="004C64B4">
              <w:rPr>
                <w:rFonts w:ascii="Times New Roman" w:hAnsi="Times New Roman" w:cs="Times New Roman"/>
                <w:color w:val="auto"/>
                <w:position w:val="0"/>
                <w:sz w:val="24"/>
                <w:szCs w:val="24"/>
              </w:rPr>
              <w:t>корупціогенних</w:t>
            </w:r>
            <w:proofErr w:type="spellEnd"/>
            <w:r w:rsidRPr="004C64B4">
              <w:rPr>
                <w:rFonts w:ascii="Times New Roman" w:hAnsi="Times New Roman" w:cs="Times New Roman"/>
                <w:color w:val="auto"/>
                <w:position w:val="0"/>
                <w:sz w:val="24"/>
                <w:szCs w:val="24"/>
              </w:rPr>
              <w:t xml:space="preserve"> факторів</w:t>
            </w:r>
          </w:p>
        </w:tc>
      </w:tr>
    </w:tbl>
    <w:p w14:paraId="58FE20A1"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1" w:name="_30j0zll" w:colFirst="0" w:colLast="0"/>
      <w:bookmarkEnd w:id="1"/>
    </w:p>
    <w:p w14:paraId="283696A8"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bookmarkStart w:id="2" w:name="_551nso77gjsq" w:colFirst="0" w:colLast="0"/>
      <w:bookmarkEnd w:id="2"/>
      <w:r w:rsidRPr="004C64B4">
        <w:rPr>
          <w:rFonts w:ascii="Times New Roman" w:hAnsi="Times New Roman" w:cs="Times New Roman"/>
          <w:b/>
          <w:color w:val="auto"/>
          <w:position w:val="0"/>
          <w:sz w:val="24"/>
          <w:szCs w:val="24"/>
        </w:rPr>
        <w:lastRenderedPageBreak/>
        <w:t>Резюме</w:t>
      </w:r>
    </w:p>
    <w:p w14:paraId="513E8086"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3" w:name="_vv8i62ov2fcm" w:colFirst="0" w:colLast="0"/>
      <w:bookmarkEnd w:id="3"/>
      <w:proofErr w:type="spellStart"/>
      <w:r w:rsidRPr="004C64B4">
        <w:rPr>
          <w:rFonts w:ascii="Times New Roman" w:hAnsi="Times New Roman" w:cs="Times New Roman"/>
          <w:color w:val="auto"/>
          <w:position w:val="0"/>
          <w:sz w:val="24"/>
          <w:szCs w:val="24"/>
        </w:rPr>
        <w:t>Законопроєктом</w:t>
      </w:r>
      <w:proofErr w:type="spellEnd"/>
      <w:r w:rsidRPr="004C64B4">
        <w:rPr>
          <w:rFonts w:ascii="Times New Roman" w:hAnsi="Times New Roman" w:cs="Times New Roman"/>
          <w:color w:val="auto"/>
          <w:position w:val="0"/>
          <w:sz w:val="24"/>
          <w:szCs w:val="24"/>
        </w:rPr>
        <w:t xml:space="preserve"> пропонується </w:t>
      </w:r>
      <w:proofErr w:type="spellStart"/>
      <w:r w:rsidRPr="004C64B4">
        <w:rPr>
          <w:rFonts w:ascii="Times New Roman" w:hAnsi="Times New Roman" w:cs="Times New Roman"/>
          <w:color w:val="auto"/>
          <w:position w:val="0"/>
          <w:sz w:val="24"/>
          <w:szCs w:val="24"/>
        </w:rPr>
        <w:t>внести</w:t>
      </w:r>
      <w:proofErr w:type="spellEnd"/>
      <w:r w:rsidRPr="004C64B4">
        <w:rPr>
          <w:rFonts w:ascii="Times New Roman" w:hAnsi="Times New Roman" w:cs="Times New Roman"/>
          <w:color w:val="auto"/>
          <w:position w:val="0"/>
          <w:sz w:val="24"/>
          <w:szCs w:val="24"/>
        </w:rPr>
        <w:t xml:space="preserve"> зміни до Закону України “Про санкції” щодо підстав та порядку застосування санкцій.</w:t>
      </w:r>
    </w:p>
    <w:p w14:paraId="65D5782F"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4" w:name="_7wp4ztm3pl93" w:colFirst="0" w:colLast="0"/>
      <w:bookmarkEnd w:id="4"/>
    </w:p>
    <w:p w14:paraId="4970854E"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bookmarkStart w:id="5" w:name="_q5pfq5h9s3bh" w:colFirst="0" w:colLast="0"/>
      <w:bookmarkEnd w:id="5"/>
      <w:r w:rsidRPr="004C64B4">
        <w:rPr>
          <w:rFonts w:ascii="Times New Roman" w:hAnsi="Times New Roman" w:cs="Times New Roman"/>
          <w:b/>
          <w:color w:val="auto"/>
          <w:position w:val="0"/>
          <w:sz w:val="24"/>
          <w:szCs w:val="24"/>
        </w:rPr>
        <w:t xml:space="preserve">Аналіз </w:t>
      </w:r>
      <w:proofErr w:type="spellStart"/>
      <w:r w:rsidRPr="004C64B4">
        <w:rPr>
          <w:rFonts w:ascii="Times New Roman" w:hAnsi="Times New Roman" w:cs="Times New Roman"/>
          <w:b/>
          <w:color w:val="auto"/>
          <w:position w:val="0"/>
          <w:sz w:val="24"/>
          <w:szCs w:val="24"/>
        </w:rPr>
        <w:t>основнихположень</w:t>
      </w:r>
      <w:proofErr w:type="spellEnd"/>
      <w:r w:rsidRPr="004C64B4">
        <w:rPr>
          <w:rFonts w:ascii="Times New Roman" w:hAnsi="Times New Roman" w:cs="Times New Roman"/>
          <w:b/>
          <w:color w:val="auto"/>
          <w:position w:val="0"/>
          <w:sz w:val="24"/>
          <w:szCs w:val="24"/>
        </w:rPr>
        <w:t xml:space="preserve"> </w:t>
      </w:r>
      <w:proofErr w:type="spellStart"/>
      <w:r w:rsidRPr="004C64B4">
        <w:rPr>
          <w:rFonts w:ascii="Times New Roman" w:hAnsi="Times New Roman" w:cs="Times New Roman"/>
          <w:b/>
          <w:color w:val="auto"/>
          <w:position w:val="0"/>
          <w:sz w:val="24"/>
          <w:szCs w:val="24"/>
        </w:rPr>
        <w:t>законопроєкту</w:t>
      </w:r>
      <w:proofErr w:type="spellEnd"/>
    </w:p>
    <w:p w14:paraId="7CB6E031"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6" w:name="_bvn0usk5rze1" w:colFirst="0" w:colLast="0"/>
      <w:bookmarkEnd w:id="6"/>
      <w:r w:rsidRPr="004C64B4">
        <w:rPr>
          <w:rFonts w:ascii="Times New Roman" w:hAnsi="Times New Roman" w:cs="Times New Roman"/>
          <w:color w:val="auto"/>
          <w:position w:val="0"/>
          <w:sz w:val="24"/>
          <w:szCs w:val="24"/>
        </w:rPr>
        <w:t>Новими підставами застосування санкцій є:</w:t>
      </w:r>
    </w:p>
    <w:p w14:paraId="0EC3B65C" w14:textId="77777777" w:rsidR="004C64B4" w:rsidRPr="004C64B4" w:rsidRDefault="004C64B4" w:rsidP="004C64B4">
      <w:pPr>
        <w:numPr>
          <w:ilvl w:val="0"/>
          <w:numId w:val="1"/>
        </w:num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7" w:name="_vrq4r9cqxb0f" w:colFirst="0" w:colLast="0"/>
      <w:bookmarkEnd w:id="7"/>
      <w:r w:rsidRPr="004C64B4">
        <w:rPr>
          <w:rFonts w:ascii="Times New Roman" w:hAnsi="Times New Roman" w:cs="Times New Roman"/>
          <w:color w:val="auto"/>
          <w:position w:val="0"/>
          <w:sz w:val="24"/>
          <w:szCs w:val="24"/>
        </w:rPr>
        <w:t xml:space="preserve">рішення уповноважених органів Сполученого Королівства Великої Британії та Північної Ірландії; </w:t>
      </w:r>
    </w:p>
    <w:p w14:paraId="053792F6" w14:textId="77777777" w:rsidR="004C64B4" w:rsidRPr="004C64B4" w:rsidRDefault="004C64B4" w:rsidP="004C64B4">
      <w:pPr>
        <w:numPr>
          <w:ilvl w:val="0"/>
          <w:numId w:val="1"/>
        </w:num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8" w:name="_xdbc8s6ijqi3" w:colFirst="0" w:colLast="0"/>
      <w:bookmarkEnd w:id="8"/>
      <w:r w:rsidRPr="004C64B4">
        <w:rPr>
          <w:rFonts w:ascii="Times New Roman" w:hAnsi="Times New Roman" w:cs="Times New Roman"/>
          <w:color w:val="auto"/>
          <w:position w:val="0"/>
          <w:sz w:val="24"/>
          <w:szCs w:val="24"/>
        </w:rPr>
        <w:t>рішення уповноважених органів Сполучених Штатів Америки;</w:t>
      </w:r>
    </w:p>
    <w:p w14:paraId="400D88EF" w14:textId="77777777" w:rsidR="004C64B4" w:rsidRPr="004C64B4" w:rsidRDefault="004C64B4" w:rsidP="004C64B4">
      <w:pPr>
        <w:numPr>
          <w:ilvl w:val="0"/>
          <w:numId w:val="1"/>
        </w:num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9" w:name="_6drjm3t1q74o" w:colFirst="0" w:colLast="0"/>
      <w:bookmarkEnd w:id="9"/>
      <w:r w:rsidRPr="004C64B4">
        <w:rPr>
          <w:rFonts w:ascii="Times New Roman" w:hAnsi="Times New Roman" w:cs="Times New Roman"/>
          <w:color w:val="auto"/>
          <w:position w:val="0"/>
          <w:sz w:val="24"/>
          <w:szCs w:val="24"/>
        </w:rPr>
        <w:t>рішення уповноважених органів Канади;</w:t>
      </w:r>
    </w:p>
    <w:p w14:paraId="624B210C" w14:textId="77777777" w:rsidR="004C64B4" w:rsidRPr="004C64B4" w:rsidRDefault="004C64B4" w:rsidP="004C64B4">
      <w:pPr>
        <w:numPr>
          <w:ilvl w:val="0"/>
          <w:numId w:val="1"/>
        </w:num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10" w:name="_sggk1y4wge5a" w:colFirst="0" w:colLast="0"/>
      <w:bookmarkEnd w:id="10"/>
      <w:r w:rsidRPr="004C64B4">
        <w:rPr>
          <w:rFonts w:ascii="Times New Roman" w:hAnsi="Times New Roman" w:cs="Times New Roman"/>
          <w:color w:val="auto"/>
          <w:position w:val="0"/>
          <w:sz w:val="24"/>
          <w:szCs w:val="24"/>
        </w:rPr>
        <w:t xml:space="preserve">рішення уповноважених органів Японії. </w:t>
      </w:r>
    </w:p>
    <w:p w14:paraId="773FBC99"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bookmarkStart w:id="11" w:name="_kx146zhqitfv" w:colFirst="0" w:colLast="0"/>
      <w:bookmarkEnd w:id="11"/>
      <w:r w:rsidRPr="004C64B4">
        <w:rPr>
          <w:rFonts w:ascii="Times New Roman" w:hAnsi="Times New Roman" w:cs="Times New Roman"/>
          <w:color w:val="auto"/>
          <w:position w:val="0"/>
          <w:sz w:val="24"/>
          <w:szCs w:val="24"/>
        </w:rPr>
        <w:t xml:space="preserve">У разі ухвалення такого рішення або регламенту Ради Європейського Союзу, що стосується запровадження, внесення змін або скасування санкцій, Кабінет Міністрів України не пізніше </w:t>
      </w:r>
      <w:r w:rsidRPr="004C64B4">
        <w:rPr>
          <w:rFonts w:ascii="Times New Roman" w:hAnsi="Times New Roman" w:cs="Times New Roman"/>
          <w:b/>
          <w:color w:val="auto"/>
          <w:position w:val="0"/>
          <w:sz w:val="24"/>
          <w:szCs w:val="24"/>
        </w:rPr>
        <w:t>ніж у триденний строк</w:t>
      </w:r>
      <w:r w:rsidRPr="004C64B4">
        <w:rPr>
          <w:rFonts w:ascii="Times New Roman" w:hAnsi="Times New Roman" w:cs="Times New Roman"/>
          <w:color w:val="auto"/>
          <w:position w:val="0"/>
          <w:sz w:val="24"/>
          <w:szCs w:val="24"/>
        </w:rPr>
        <w:t xml:space="preserve"> з дня прийняття такого рішення (регламенту) вносить пропозицію щодо застосування Україною аналогічних санкцій, змін чи скасування санкцій на розгляд РНБО України, яка розглядає це питання та приймає рішення щодо запровадження, внесення змін або скасування санкцій не пізніше </w:t>
      </w:r>
      <w:r w:rsidRPr="004C64B4">
        <w:rPr>
          <w:rFonts w:ascii="Times New Roman" w:hAnsi="Times New Roman" w:cs="Times New Roman"/>
          <w:b/>
          <w:color w:val="auto"/>
          <w:position w:val="0"/>
          <w:sz w:val="24"/>
          <w:szCs w:val="24"/>
        </w:rPr>
        <w:t xml:space="preserve">ніж у триденний строк </w:t>
      </w:r>
      <w:r w:rsidRPr="004C64B4">
        <w:rPr>
          <w:rFonts w:ascii="Times New Roman" w:hAnsi="Times New Roman" w:cs="Times New Roman"/>
          <w:color w:val="auto"/>
          <w:position w:val="0"/>
          <w:sz w:val="24"/>
          <w:szCs w:val="24"/>
        </w:rPr>
        <w:t>з дня внесення відповідної пропозиції.</w:t>
      </w:r>
    </w:p>
    <w:p w14:paraId="6333215B"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bookmarkStart w:id="12" w:name="_scyzp2ba0lck" w:colFirst="0" w:colLast="0"/>
      <w:bookmarkEnd w:id="12"/>
    </w:p>
    <w:p w14:paraId="3B938FED"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bookmarkStart w:id="13" w:name="_xf51d15s6vej" w:colFirst="0" w:colLast="0"/>
      <w:bookmarkEnd w:id="13"/>
      <w:r w:rsidRPr="004C64B4">
        <w:rPr>
          <w:rFonts w:ascii="Times New Roman" w:hAnsi="Times New Roman" w:cs="Times New Roman"/>
          <w:b/>
          <w:i/>
          <w:color w:val="auto"/>
          <w:position w:val="0"/>
          <w:sz w:val="24"/>
          <w:szCs w:val="24"/>
        </w:rPr>
        <w:t xml:space="preserve">За результатами антикорупційної експертизи </w:t>
      </w:r>
      <w:proofErr w:type="spellStart"/>
      <w:r w:rsidRPr="004C64B4">
        <w:rPr>
          <w:rFonts w:ascii="Times New Roman" w:hAnsi="Times New Roman" w:cs="Times New Roman"/>
          <w:b/>
          <w:i/>
          <w:color w:val="auto"/>
          <w:position w:val="0"/>
          <w:sz w:val="24"/>
          <w:szCs w:val="24"/>
        </w:rPr>
        <w:t>законопроєкту</w:t>
      </w:r>
      <w:proofErr w:type="spellEnd"/>
      <w:r w:rsidRPr="004C64B4">
        <w:rPr>
          <w:rFonts w:ascii="Times New Roman" w:hAnsi="Times New Roman" w:cs="Times New Roman"/>
          <w:b/>
          <w:i/>
          <w:color w:val="auto"/>
          <w:position w:val="0"/>
          <w:sz w:val="24"/>
          <w:szCs w:val="24"/>
        </w:rPr>
        <w:t xml:space="preserve">, Інститут законодавчих ідей не виявив в його положеннях </w:t>
      </w:r>
      <w:proofErr w:type="spellStart"/>
      <w:r w:rsidRPr="004C64B4">
        <w:rPr>
          <w:rFonts w:ascii="Times New Roman" w:hAnsi="Times New Roman" w:cs="Times New Roman"/>
          <w:b/>
          <w:i/>
          <w:color w:val="auto"/>
          <w:position w:val="0"/>
          <w:sz w:val="24"/>
          <w:szCs w:val="24"/>
        </w:rPr>
        <w:t>корупціогенних</w:t>
      </w:r>
      <w:proofErr w:type="spellEnd"/>
      <w:r w:rsidRPr="004C64B4">
        <w:rPr>
          <w:rFonts w:ascii="Times New Roman" w:hAnsi="Times New Roman" w:cs="Times New Roman"/>
          <w:b/>
          <w:i/>
          <w:color w:val="auto"/>
          <w:position w:val="0"/>
          <w:sz w:val="24"/>
          <w:szCs w:val="24"/>
        </w:rPr>
        <w:t xml:space="preserve"> факторів. Однак, цілком підтримуючи ідею необхідності синхронізації санкцій з міжнародним співтовариством, вважаємо, що запропонований підхід щодо “автоматичної” синхронізації санкцій не зможе працювати на практиці та може створювати загрози для національної безпеки України. </w:t>
      </w:r>
    </w:p>
    <w:p w14:paraId="27055835"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bookmarkStart w:id="14" w:name="_p639yn3m53m9" w:colFirst="0" w:colLast="0"/>
      <w:bookmarkEnd w:id="14"/>
    </w:p>
    <w:p w14:paraId="1315AC51"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bookmarkStart w:id="15" w:name="_xoxcc1efimno" w:colFirst="0" w:colLast="0"/>
      <w:bookmarkEnd w:id="15"/>
      <w:r w:rsidRPr="004C64B4">
        <w:rPr>
          <w:rFonts w:ascii="Times New Roman" w:hAnsi="Times New Roman" w:cs="Times New Roman"/>
          <w:b/>
          <w:color w:val="auto"/>
          <w:position w:val="0"/>
          <w:sz w:val="24"/>
          <w:szCs w:val="24"/>
        </w:rPr>
        <w:t>Зауваження</w:t>
      </w:r>
    </w:p>
    <w:p w14:paraId="418068B5"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p>
    <w:p w14:paraId="763DB3F4"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1. Встановлено обов'язок синхронізації не лише із рішенням про застосування санкцій, а й рішеннями країн-партнерів щодо скасування санкцій, що може нести загрози національній безпеці України.</w:t>
      </w:r>
    </w:p>
    <w:p w14:paraId="382D8D6E"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У </w:t>
      </w:r>
      <w:proofErr w:type="spellStart"/>
      <w:r w:rsidRPr="004C64B4">
        <w:rPr>
          <w:rFonts w:ascii="Times New Roman" w:hAnsi="Times New Roman" w:cs="Times New Roman"/>
          <w:color w:val="auto"/>
          <w:position w:val="0"/>
          <w:sz w:val="24"/>
          <w:szCs w:val="24"/>
        </w:rPr>
        <w:t>законопроєкті</w:t>
      </w:r>
      <w:proofErr w:type="spellEnd"/>
      <w:r w:rsidRPr="004C64B4">
        <w:rPr>
          <w:rFonts w:ascii="Times New Roman" w:hAnsi="Times New Roman" w:cs="Times New Roman"/>
          <w:color w:val="auto"/>
          <w:position w:val="0"/>
          <w:sz w:val="24"/>
          <w:szCs w:val="24"/>
        </w:rPr>
        <w:t xml:space="preserve"> пропонується закріпити </w:t>
      </w:r>
      <w:r w:rsidRPr="004C64B4">
        <w:rPr>
          <w:rFonts w:ascii="Times New Roman" w:hAnsi="Times New Roman" w:cs="Times New Roman"/>
          <w:b/>
          <w:color w:val="auto"/>
          <w:position w:val="0"/>
          <w:sz w:val="24"/>
          <w:szCs w:val="24"/>
        </w:rPr>
        <w:t>обов'язок</w:t>
      </w:r>
      <w:r w:rsidRPr="004C64B4">
        <w:rPr>
          <w:rFonts w:ascii="Times New Roman" w:hAnsi="Times New Roman" w:cs="Times New Roman"/>
          <w:color w:val="auto"/>
          <w:position w:val="0"/>
          <w:sz w:val="24"/>
          <w:szCs w:val="24"/>
        </w:rPr>
        <w:t xml:space="preserve"> КМУ вносити пропозицію щодо застосування Україною аналогічних санкцій, </w:t>
      </w:r>
      <w:r w:rsidRPr="004C64B4">
        <w:rPr>
          <w:rFonts w:ascii="Times New Roman" w:hAnsi="Times New Roman" w:cs="Times New Roman"/>
          <w:b/>
          <w:color w:val="auto"/>
          <w:position w:val="0"/>
          <w:sz w:val="24"/>
          <w:szCs w:val="24"/>
        </w:rPr>
        <w:t>змін чи скасування санкцій</w:t>
      </w:r>
      <w:r w:rsidRPr="004C64B4">
        <w:rPr>
          <w:rFonts w:ascii="Times New Roman" w:hAnsi="Times New Roman" w:cs="Times New Roman"/>
          <w:color w:val="auto"/>
          <w:position w:val="0"/>
          <w:sz w:val="24"/>
          <w:szCs w:val="24"/>
        </w:rPr>
        <w:t xml:space="preserve"> на розгляд Ради національної безпеки та оборони України у триденний строк з дня прийняття такого рішення вказаними країнами-партнерами.</w:t>
      </w:r>
    </w:p>
    <w:p w14:paraId="46977D1E"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На практиці, такий підхід призведе до того, що КМУ буде зобов'язаний ініціювати послаблення чи скасування санкцій з певних осіб щодо яких таке рішення винесено окремою вищевказаною країною. Наприклад, якщо в Канаді чи Японії будуть зняті санкцій з особи, яка є </w:t>
      </w:r>
      <w:proofErr w:type="spellStart"/>
      <w:r w:rsidRPr="004C64B4">
        <w:rPr>
          <w:rFonts w:ascii="Times New Roman" w:hAnsi="Times New Roman" w:cs="Times New Roman"/>
          <w:color w:val="auto"/>
          <w:position w:val="0"/>
          <w:sz w:val="24"/>
          <w:szCs w:val="24"/>
        </w:rPr>
        <w:t>підсанкційною</w:t>
      </w:r>
      <w:proofErr w:type="spellEnd"/>
      <w:r w:rsidRPr="004C64B4">
        <w:rPr>
          <w:rFonts w:ascii="Times New Roman" w:hAnsi="Times New Roman" w:cs="Times New Roman"/>
          <w:color w:val="auto"/>
          <w:position w:val="0"/>
          <w:sz w:val="24"/>
          <w:szCs w:val="24"/>
        </w:rPr>
        <w:t xml:space="preserve"> в Україні, КМУ повинен ініціювати зняття таких санкцій в Україні, навіть якщо це суперечить її інтересам.</w:t>
      </w:r>
    </w:p>
    <w:p w14:paraId="3CA7BEAA"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Окрім того, в </w:t>
      </w:r>
      <w:proofErr w:type="spellStart"/>
      <w:r w:rsidRPr="004C64B4">
        <w:rPr>
          <w:rFonts w:ascii="Times New Roman" w:hAnsi="Times New Roman" w:cs="Times New Roman"/>
          <w:color w:val="auto"/>
          <w:position w:val="0"/>
          <w:sz w:val="24"/>
          <w:szCs w:val="24"/>
        </w:rPr>
        <w:t>законопроєкті</w:t>
      </w:r>
      <w:proofErr w:type="spellEnd"/>
      <w:r w:rsidRPr="004C64B4">
        <w:rPr>
          <w:rFonts w:ascii="Times New Roman" w:hAnsi="Times New Roman" w:cs="Times New Roman"/>
          <w:color w:val="auto"/>
          <w:position w:val="0"/>
          <w:sz w:val="24"/>
          <w:szCs w:val="24"/>
        </w:rPr>
        <w:t xml:space="preserve"> визначено, що “... РНБО </w:t>
      </w:r>
      <w:r w:rsidRPr="004C64B4">
        <w:rPr>
          <w:rFonts w:ascii="Times New Roman" w:hAnsi="Times New Roman" w:cs="Times New Roman"/>
          <w:b/>
          <w:color w:val="auto"/>
          <w:position w:val="0"/>
          <w:sz w:val="24"/>
          <w:szCs w:val="24"/>
        </w:rPr>
        <w:t>розглядає це питання та приймає рішення</w:t>
      </w:r>
      <w:r w:rsidRPr="004C64B4">
        <w:rPr>
          <w:rFonts w:ascii="Times New Roman" w:hAnsi="Times New Roman" w:cs="Times New Roman"/>
          <w:color w:val="auto"/>
          <w:position w:val="0"/>
          <w:sz w:val="24"/>
          <w:szCs w:val="24"/>
        </w:rPr>
        <w:t xml:space="preserve"> щодо запровадження, внесення змін або скасування санкцій не пізніше ніж у триденний строк з дня внесення відповідної пропозиції”. За такого формулювання неможливо чітко визначити, чи зобов'язане РНБО фактично автоматично приймати таку пропозицію, чи має можливість відмовити.</w:t>
      </w:r>
    </w:p>
    <w:p w14:paraId="0A4A66A3"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Слід враховувати, що накладення санкцій є суверенним правом держави та залежить від політичних обставин, які мають властивість стрімко змінюватись. За таких умов, цілком реальною є ситуація, за якої така “автоматична” синхронізація Україною санкцій, особливо в частині їх зняття, буде створювати загрози національній безпеці України.</w:t>
      </w:r>
    </w:p>
    <w:p w14:paraId="63503DC0"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Вважаємо, що синхронізація санкцій є важливим аспектом глобальної системи стримування та притягнення до відповідальності агресора та його пособників. Разом з тим, запропонована система автоматичної синхронізації санкцій, особливо їх скасування, може </w:t>
      </w:r>
      <w:r w:rsidRPr="004C64B4">
        <w:rPr>
          <w:rFonts w:ascii="Times New Roman" w:hAnsi="Times New Roman" w:cs="Times New Roman"/>
          <w:color w:val="auto"/>
          <w:position w:val="0"/>
          <w:sz w:val="24"/>
          <w:szCs w:val="24"/>
        </w:rPr>
        <w:lastRenderedPageBreak/>
        <w:t>порушити баланс між національними інтересами України та гармонізації з рішеннями держав-партнерів.</w:t>
      </w:r>
    </w:p>
    <w:p w14:paraId="185DD3FB"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rPr>
      </w:pPr>
      <w:r w:rsidRPr="004C64B4">
        <w:rPr>
          <w:rFonts w:ascii="Times New Roman" w:hAnsi="Times New Roman" w:cs="Times New Roman"/>
          <w:i/>
          <w:color w:val="auto"/>
          <w:position w:val="0"/>
          <w:sz w:val="24"/>
          <w:szCs w:val="24"/>
        </w:rPr>
        <w:t>Тому, рекомендуємо чітко закріпити можливість РНБО у виключних випадках, керуючись національними інтересами України не приймати відповідні рішення щодо синхронізації санкцій.</w:t>
      </w:r>
    </w:p>
    <w:p w14:paraId="629A06DE"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4A0665D0"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2. Неврегульоване питання одночасної синхронізації з санкціями усіх країн-партнерів.</w:t>
      </w:r>
    </w:p>
    <w:p w14:paraId="727CBD5E"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У </w:t>
      </w:r>
      <w:proofErr w:type="spellStart"/>
      <w:r w:rsidRPr="004C64B4">
        <w:rPr>
          <w:rFonts w:ascii="Times New Roman" w:hAnsi="Times New Roman" w:cs="Times New Roman"/>
          <w:color w:val="auto"/>
          <w:position w:val="0"/>
          <w:sz w:val="24"/>
          <w:szCs w:val="24"/>
        </w:rPr>
        <w:t>законопроєкті</w:t>
      </w:r>
      <w:proofErr w:type="spellEnd"/>
      <w:r w:rsidRPr="004C64B4">
        <w:rPr>
          <w:rFonts w:ascii="Times New Roman" w:hAnsi="Times New Roman" w:cs="Times New Roman"/>
          <w:color w:val="auto"/>
          <w:position w:val="0"/>
          <w:sz w:val="24"/>
          <w:szCs w:val="24"/>
        </w:rPr>
        <w:t xml:space="preserve"> ніяким чином не врегульоване питання синхронізації санкцій між Україною та одночасно усіма вище вказаними країнами-партнерами. Наприклад, у випадку скасування санкцій США, за логікою </w:t>
      </w:r>
      <w:proofErr w:type="spellStart"/>
      <w:r w:rsidRPr="004C64B4">
        <w:rPr>
          <w:rFonts w:ascii="Times New Roman" w:hAnsi="Times New Roman" w:cs="Times New Roman"/>
          <w:color w:val="auto"/>
          <w:position w:val="0"/>
          <w:sz w:val="24"/>
          <w:szCs w:val="24"/>
        </w:rPr>
        <w:t>законопроєкту</w:t>
      </w:r>
      <w:proofErr w:type="spellEnd"/>
      <w:r w:rsidRPr="004C64B4">
        <w:rPr>
          <w:rFonts w:ascii="Times New Roman" w:hAnsi="Times New Roman" w:cs="Times New Roman"/>
          <w:color w:val="auto"/>
          <w:position w:val="0"/>
          <w:sz w:val="24"/>
          <w:szCs w:val="24"/>
        </w:rPr>
        <w:t>, вони мають бути синхронізовані, тобто скасовані в Україні. Водночас, ЄС може не скасувати такі санкції.</w:t>
      </w:r>
    </w:p>
    <w:p w14:paraId="3679B310"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За такої ситуації, у разі прийняття відповідного рішення в Україні, санкції будуть синхронізовані з санкціями США, але перестануть бути синхронізованими з санкціями ЄС.</w:t>
      </w:r>
    </w:p>
    <w:p w14:paraId="75D746A6"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rPr>
      </w:pPr>
      <w:r w:rsidRPr="004C64B4">
        <w:rPr>
          <w:rFonts w:ascii="Times New Roman" w:hAnsi="Times New Roman" w:cs="Times New Roman"/>
          <w:i/>
          <w:color w:val="auto"/>
          <w:position w:val="0"/>
          <w:sz w:val="24"/>
          <w:szCs w:val="24"/>
        </w:rPr>
        <w:t>Це додатково підтверджує аргумент, що уповноважені українські органи повинні розглядати питання синхронізації у кожному конкретному випадку, насамперед керуючись своїми власними національними інтересами.</w:t>
      </w:r>
    </w:p>
    <w:p w14:paraId="5EBE4657"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449D5125"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 xml:space="preserve">3. У </w:t>
      </w:r>
      <w:proofErr w:type="spellStart"/>
      <w:r w:rsidRPr="004C64B4">
        <w:rPr>
          <w:rFonts w:ascii="Times New Roman" w:hAnsi="Times New Roman" w:cs="Times New Roman"/>
          <w:b/>
          <w:color w:val="auto"/>
          <w:position w:val="0"/>
          <w:sz w:val="24"/>
          <w:szCs w:val="24"/>
        </w:rPr>
        <w:t>законопроєкті</w:t>
      </w:r>
      <w:proofErr w:type="spellEnd"/>
      <w:r w:rsidRPr="004C64B4">
        <w:rPr>
          <w:rFonts w:ascii="Times New Roman" w:hAnsi="Times New Roman" w:cs="Times New Roman"/>
          <w:b/>
          <w:color w:val="auto"/>
          <w:position w:val="0"/>
          <w:sz w:val="24"/>
          <w:szCs w:val="24"/>
        </w:rPr>
        <w:t xml:space="preserve"> не враховано, що процедура накладення секторальних санкцій відрізняється від процедури накладення індивідуальних санкцій.</w:t>
      </w:r>
    </w:p>
    <w:p w14:paraId="623ED49A"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roofErr w:type="spellStart"/>
      <w:r w:rsidRPr="004C64B4">
        <w:rPr>
          <w:rFonts w:ascii="Times New Roman" w:hAnsi="Times New Roman" w:cs="Times New Roman"/>
          <w:color w:val="auto"/>
          <w:position w:val="0"/>
          <w:sz w:val="24"/>
          <w:szCs w:val="24"/>
        </w:rPr>
        <w:t>Законопроєктом</w:t>
      </w:r>
      <w:proofErr w:type="spellEnd"/>
      <w:r w:rsidRPr="004C64B4">
        <w:rPr>
          <w:rFonts w:ascii="Times New Roman" w:hAnsi="Times New Roman" w:cs="Times New Roman"/>
          <w:color w:val="auto"/>
          <w:position w:val="0"/>
          <w:sz w:val="24"/>
          <w:szCs w:val="24"/>
        </w:rPr>
        <w:t xml:space="preserve"> пропонується, щоб Кабінет Міністрів України протягом трьох днів виносив на розгляд РНБО питання накладення аналогічних санкцій. Однак у випадку накладення секторальних санкцій, процедура, передбачена Законом України “Про санкції” відрізняється. Рішення має бути затверджено Указом Президента України та постановою Верховної Ради України. Натомість в новому пункті 9 статті 5 </w:t>
      </w:r>
      <w:proofErr w:type="spellStart"/>
      <w:r w:rsidRPr="004C64B4">
        <w:rPr>
          <w:rFonts w:ascii="Times New Roman" w:hAnsi="Times New Roman" w:cs="Times New Roman"/>
          <w:color w:val="auto"/>
          <w:position w:val="0"/>
          <w:sz w:val="24"/>
          <w:szCs w:val="24"/>
        </w:rPr>
        <w:t>законопроєкту</w:t>
      </w:r>
      <w:proofErr w:type="spellEnd"/>
      <w:r w:rsidRPr="004C64B4">
        <w:rPr>
          <w:rFonts w:ascii="Times New Roman" w:hAnsi="Times New Roman" w:cs="Times New Roman"/>
          <w:color w:val="auto"/>
          <w:position w:val="0"/>
          <w:sz w:val="24"/>
          <w:szCs w:val="24"/>
        </w:rPr>
        <w:t xml:space="preserve"> ці положення не враховані. Внаслідок цього виникає колізія, яку необхідно усунути.</w:t>
      </w:r>
    </w:p>
    <w:p w14:paraId="1F6F01D2"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rPr>
      </w:pPr>
      <w:r w:rsidRPr="004C64B4">
        <w:rPr>
          <w:rFonts w:ascii="Times New Roman" w:hAnsi="Times New Roman" w:cs="Times New Roman"/>
          <w:i/>
          <w:color w:val="auto"/>
          <w:position w:val="0"/>
          <w:sz w:val="24"/>
          <w:szCs w:val="24"/>
        </w:rPr>
        <w:t xml:space="preserve">Рекомендуємо удосконалити </w:t>
      </w:r>
      <w:proofErr w:type="spellStart"/>
      <w:r w:rsidRPr="004C64B4">
        <w:rPr>
          <w:rFonts w:ascii="Times New Roman" w:hAnsi="Times New Roman" w:cs="Times New Roman"/>
          <w:i/>
          <w:color w:val="auto"/>
          <w:position w:val="0"/>
          <w:sz w:val="24"/>
          <w:szCs w:val="24"/>
        </w:rPr>
        <w:t>законопроєкт</w:t>
      </w:r>
      <w:proofErr w:type="spellEnd"/>
      <w:r w:rsidRPr="004C64B4">
        <w:rPr>
          <w:rFonts w:ascii="Times New Roman" w:hAnsi="Times New Roman" w:cs="Times New Roman"/>
          <w:i/>
          <w:color w:val="auto"/>
          <w:position w:val="0"/>
          <w:sz w:val="24"/>
          <w:szCs w:val="24"/>
        </w:rPr>
        <w:t>, визначивши процедуру синхронізації з секторальними санкціями.</w:t>
      </w:r>
    </w:p>
    <w:p w14:paraId="00A5A205"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p>
    <w:p w14:paraId="6D454D4A"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color w:val="auto"/>
          <w:position w:val="0"/>
          <w:sz w:val="24"/>
          <w:szCs w:val="24"/>
        </w:rPr>
      </w:pPr>
      <w:r w:rsidRPr="004C64B4">
        <w:rPr>
          <w:rFonts w:ascii="Times New Roman" w:hAnsi="Times New Roman" w:cs="Times New Roman"/>
          <w:b/>
          <w:color w:val="auto"/>
          <w:position w:val="0"/>
          <w:sz w:val="24"/>
          <w:szCs w:val="24"/>
        </w:rPr>
        <w:t xml:space="preserve">4. Невизначеність щодо конкретних видів </w:t>
      </w:r>
      <w:proofErr w:type="spellStart"/>
      <w:r w:rsidRPr="004C64B4">
        <w:rPr>
          <w:rFonts w:ascii="Times New Roman" w:hAnsi="Times New Roman" w:cs="Times New Roman"/>
          <w:b/>
          <w:color w:val="auto"/>
          <w:position w:val="0"/>
          <w:sz w:val="24"/>
          <w:szCs w:val="24"/>
        </w:rPr>
        <w:t>санкційних</w:t>
      </w:r>
      <w:proofErr w:type="spellEnd"/>
      <w:r w:rsidRPr="004C64B4">
        <w:rPr>
          <w:rFonts w:ascii="Times New Roman" w:hAnsi="Times New Roman" w:cs="Times New Roman"/>
          <w:b/>
          <w:color w:val="auto"/>
          <w:position w:val="0"/>
          <w:sz w:val="24"/>
          <w:szCs w:val="24"/>
        </w:rPr>
        <w:t xml:space="preserve"> обмежень, які слід синхронізувати.</w:t>
      </w:r>
    </w:p>
    <w:p w14:paraId="16B307EC"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У </w:t>
      </w:r>
      <w:proofErr w:type="spellStart"/>
      <w:r w:rsidRPr="004C64B4">
        <w:rPr>
          <w:rFonts w:ascii="Times New Roman" w:hAnsi="Times New Roman" w:cs="Times New Roman"/>
          <w:color w:val="auto"/>
          <w:position w:val="0"/>
          <w:sz w:val="24"/>
          <w:szCs w:val="24"/>
        </w:rPr>
        <w:t>законопроєкті</w:t>
      </w:r>
      <w:proofErr w:type="spellEnd"/>
      <w:r w:rsidRPr="004C64B4">
        <w:rPr>
          <w:rFonts w:ascii="Times New Roman" w:hAnsi="Times New Roman" w:cs="Times New Roman"/>
          <w:color w:val="auto"/>
          <w:position w:val="0"/>
          <w:sz w:val="24"/>
          <w:szCs w:val="24"/>
        </w:rPr>
        <w:t xml:space="preserve"> вказано, що “... КМУ вносить пропозицію щодо застосування Україною </w:t>
      </w:r>
      <w:r w:rsidRPr="004C64B4">
        <w:rPr>
          <w:rFonts w:ascii="Times New Roman" w:hAnsi="Times New Roman" w:cs="Times New Roman"/>
          <w:b/>
          <w:color w:val="auto"/>
          <w:position w:val="0"/>
          <w:sz w:val="24"/>
          <w:szCs w:val="24"/>
        </w:rPr>
        <w:t>аналогічних</w:t>
      </w:r>
      <w:r w:rsidRPr="004C64B4">
        <w:rPr>
          <w:rFonts w:ascii="Times New Roman" w:hAnsi="Times New Roman" w:cs="Times New Roman"/>
          <w:color w:val="auto"/>
          <w:position w:val="0"/>
          <w:sz w:val="24"/>
          <w:szCs w:val="24"/>
        </w:rPr>
        <w:t xml:space="preserve"> санкцій, змін чи скасування санкцій на розгляд Ради національної безпеки та оборони України …”.</w:t>
      </w:r>
    </w:p>
    <w:p w14:paraId="6D43A74C"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 xml:space="preserve">Слід враховувати, що в Законі України “Про санкції” перелічено 32 види санкцій, а їх перелік є невичерпним. Водночас, у вищевказаних країнах-партнерах </w:t>
      </w:r>
      <w:proofErr w:type="spellStart"/>
      <w:r w:rsidRPr="004C64B4">
        <w:rPr>
          <w:rFonts w:ascii="Times New Roman" w:hAnsi="Times New Roman" w:cs="Times New Roman"/>
          <w:color w:val="auto"/>
          <w:position w:val="0"/>
          <w:sz w:val="24"/>
          <w:szCs w:val="24"/>
        </w:rPr>
        <w:t>санкційні</w:t>
      </w:r>
      <w:proofErr w:type="spellEnd"/>
      <w:r w:rsidRPr="004C64B4">
        <w:rPr>
          <w:rFonts w:ascii="Times New Roman" w:hAnsi="Times New Roman" w:cs="Times New Roman"/>
          <w:color w:val="auto"/>
          <w:position w:val="0"/>
          <w:sz w:val="24"/>
          <w:szCs w:val="24"/>
        </w:rPr>
        <w:t xml:space="preserve"> обмеження можуть полягати в інших </w:t>
      </w:r>
      <w:proofErr w:type="spellStart"/>
      <w:r w:rsidRPr="004C64B4">
        <w:rPr>
          <w:rFonts w:ascii="Times New Roman" w:hAnsi="Times New Roman" w:cs="Times New Roman"/>
          <w:color w:val="auto"/>
          <w:position w:val="0"/>
          <w:sz w:val="24"/>
          <w:szCs w:val="24"/>
        </w:rPr>
        <w:t>правообмеженнях</w:t>
      </w:r>
      <w:proofErr w:type="spellEnd"/>
      <w:r w:rsidRPr="004C64B4">
        <w:rPr>
          <w:rFonts w:ascii="Times New Roman" w:hAnsi="Times New Roman" w:cs="Times New Roman"/>
          <w:color w:val="auto"/>
          <w:position w:val="0"/>
          <w:sz w:val="24"/>
          <w:szCs w:val="24"/>
        </w:rPr>
        <w:t>, аналогів яким немає в українському Законі. За такої ситуації, уповноважені українські органи на власний розсуд будуть “</w:t>
      </w:r>
      <w:proofErr w:type="spellStart"/>
      <w:r w:rsidRPr="004C64B4">
        <w:rPr>
          <w:rFonts w:ascii="Times New Roman" w:hAnsi="Times New Roman" w:cs="Times New Roman"/>
          <w:color w:val="auto"/>
          <w:position w:val="0"/>
          <w:sz w:val="24"/>
          <w:szCs w:val="24"/>
        </w:rPr>
        <w:t>співставляти</w:t>
      </w:r>
      <w:proofErr w:type="spellEnd"/>
      <w:r w:rsidRPr="004C64B4">
        <w:rPr>
          <w:rFonts w:ascii="Times New Roman" w:hAnsi="Times New Roman" w:cs="Times New Roman"/>
          <w:color w:val="auto"/>
          <w:position w:val="0"/>
          <w:sz w:val="24"/>
          <w:szCs w:val="24"/>
        </w:rPr>
        <w:t>” застосовану/змінену/скасовану санкцію з визначеннями Закону.</w:t>
      </w:r>
    </w:p>
    <w:p w14:paraId="57760226"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color w:val="auto"/>
          <w:position w:val="0"/>
          <w:sz w:val="24"/>
          <w:szCs w:val="24"/>
        </w:rPr>
      </w:pPr>
      <w:r w:rsidRPr="004C64B4">
        <w:rPr>
          <w:rFonts w:ascii="Times New Roman" w:hAnsi="Times New Roman" w:cs="Times New Roman"/>
          <w:color w:val="auto"/>
          <w:position w:val="0"/>
          <w:sz w:val="24"/>
          <w:szCs w:val="24"/>
        </w:rPr>
        <w:t>Звісно, завжди буде можливість синхронізувати таку санкцію через використання санкції з відкритим змістом “</w:t>
      </w:r>
      <w:r w:rsidRPr="004C64B4">
        <w:rPr>
          <w:rFonts w:ascii="Times New Roman" w:hAnsi="Times New Roman" w:cs="Times New Roman"/>
          <w:color w:val="auto"/>
          <w:position w:val="0"/>
          <w:sz w:val="24"/>
          <w:szCs w:val="24"/>
          <w:highlight w:val="white"/>
        </w:rPr>
        <w:t>інші санкції, що відповідають принципам їх застосування, встановленим цим Законом”. Однак такий підхід буде позбавлений системності та може створити проблеми на практиці, особливо з визначенням органів, уповноважених на імплементацію цих санкцій.</w:t>
      </w:r>
    </w:p>
    <w:p w14:paraId="653D493D"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i/>
          <w:color w:val="auto"/>
          <w:position w:val="0"/>
          <w:sz w:val="24"/>
          <w:szCs w:val="24"/>
        </w:rPr>
      </w:pPr>
      <w:r w:rsidRPr="004C64B4">
        <w:rPr>
          <w:rFonts w:ascii="Times New Roman" w:hAnsi="Times New Roman" w:cs="Times New Roman"/>
          <w:i/>
          <w:color w:val="auto"/>
          <w:position w:val="0"/>
          <w:sz w:val="24"/>
          <w:szCs w:val="24"/>
        </w:rPr>
        <w:t>Вважаємо, що, перш за все, необхідно удосконалити перелік видів санкцій, закріплений в Законі, максимально гармонізувавши його з підходами країн-партнерів.</w:t>
      </w:r>
    </w:p>
    <w:p w14:paraId="7B2F9667"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p>
    <w:p w14:paraId="6BA9E72D"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r w:rsidRPr="004C64B4">
        <w:rPr>
          <w:rFonts w:ascii="Times New Roman" w:hAnsi="Times New Roman" w:cs="Times New Roman"/>
          <w:b/>
          <w:i/>
          <w:color w:val="auto"/>
          <w:position w:val="0"/>
          <w:sz w:val="24"/>
          <w:szCs w:val="24"/>
        </w:rPr>
        <w:t xml:space="preserve">Інститут законодавчих ідей схвалює ідею </w:t>
      </w:r>
      <w:proofErr w:type="spellStart"/>
      <w:r w:rsidRPr="004C64B4">
        <w:rPr>
          <w:rFonts w:ascii="Times New Roman" w:hAnsi="Times New Roman" w:cs="Times New Roman"/>
          <w:b/>
          <w:i/>
          <w:color w:val="auto"/>
          <w:position w:val="0"/>
          <w:sz w:val="24"/>
          <w:szCs w:val="24"/>
        </w:rPr>
        <w:t>законопроєкту</w:t>
      </w:r>
      <w:proofErr w:type="spellEnd"/>
      <w:r w:rsidRPr="004C64B4">
        <w:rPr>
          <w:rFonts w:ascii="Times New Roman" w:hAnsi="Times New Roman" w:cs="Times New Roman"/>
          <w:b/>
          <w:i/>
          <w:color w:val="auto"/>
          <w:position w:val="0"/>
          <w:sz w:val="24"/>
          <w:szCs w:val="24"/>
        </w:rPr>
        <w:t>, тому не заперечує проти його ухвалення, однак лише за умови доопрацювання та виправлення виявлених недоліків.</w:t>
      </w:r>
    </w:p>
    <w:p w14:paraId="701689A1"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color w:val="auto"/>
          <w:position w:val="0"/>
          <w:sz w:val="24"/>
          <w:szCs w:val="24"/>
        </w:rPr>
      </w:pPr>
    </w:p>
    <w:p w14:paraId="2BAACF10" w14:textId="77777777" w:rsidR="004C64B4" w:rsidRPr="004C64B4" w:rsidRDefault="004C64B4" w:rsidP="004C64B4">
      <w:pPr>
        <w:suppressAutoHyphens w:val="0"/>
        <w:spacing w:line="240" w:lineRule="auto"/>
        <w:ind w:leftChars="0" w:left="0" w:firstLineChars="0" w:firstLine="720"/>
        <w:jc w:val="both"/>
        <w:textDirection w:val="lrTb"/>
        <w:textAlignment w:val="auto"/>
        <w:outlineLvl w:val="9"/>
        <w:rPr>
          <w:rFonts w:eastAsia="Arial"/>
          <w:color w:val="auto"/>
          <w:position w:val="0"/>
          <w:szCs w:val="22"/>
        </w:rPr>
      </w:pPr>
    </w:p>
    <w:p w14:paraId="19C8FE51" w14:textId="532971F7" w:rsidR="003243F7" w:rsidRPr="00186B92" w:rsidRDefault="003243F7" w:rsidP="00186B92">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lang w:val="uk-UA"/>
        </w:rPr>
      </w:pPr>
    </w:p>
    <w:sectPr w:rsidR="003243F7" w:rsidRPr="00186B9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DD2355" w14:textId="77777777" w:rsidR="00223057" w:rsidRDefault="00223057">
      <w:pPr>
        <w:spacing w:line="240" w:lineRule="auto"/>
        <w:ind w:left="0" w:hanging="2"/>
      </w:pPr>
      <w:r>
        <w:separator/>
      </w:r>
    </w:p>
  </w:endnote>
  <w:endnote w:type="continuationSeparator" w:id="0">
    <w:p w14:paraId="68E39BD1" w14:textId="77777777" w:rsidR="00223057" w:rsidRDefault="0022305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02EF9" w14:textId="77777777" w:rsidR="00223057" w:rsidRDefault="00223057">
      <w:pPr>
        <w:spacing w:line="240" w:lineRule="auto"/>
        <w:ind w:left="0" w:hanging="2"/>
      </w:pPr>
      <w:r>
        <w:separator/>
      </w:r>
    </w:p>
  </w:footnote>
  <w:footnote w:type="continuationSeparator" w:id="0">
    <w:p w14:paraId="7DC0E72E" w14:textId="77777777" w:rsidR="00223057" w:rsidRDefault="00223057">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F4557"/>
    <w:multiLevelType w:val="multilevel"/>
    <w:tmpl w:val="B04CC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215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186B92"/>
    <w:rsid w:val="00223057"/>
    <w:rsid w:val="002C0137"/>
    <w:rsid w:val="003243F7"/>
    <w:rsid w:val="0037099E"/>
    <w:rsid w:val="004C64B4"/>
    <w:rsid w:val="00564310"/>
    <w:rsid w:val="008060FA"/>
    <w:rsid w:val="0082396D"/>
    <w:rsid w:val="009E7D41"/>
    <w:rsid w:val="00B51F8D"/>
    <w:rsid w:val="00BC7338"/>
    <w:rsid w:val="00C26457"/>
    <w:rsid w:val="00CB0998"/>
    <w:rsid w:val="00D05202"/>
    <w:rsid w:val="00DF7D3F"/>
    <w:rsid w:val="00E8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126660961">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 w:id="213077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4685</Words>
  <Characters>2672</Characters>
  <Application>Microsoft Office Word</Application>
  <DocSecurity>0</DocSecurity>
  <Lines>22</Lines>
  <Paragraphs>14</Paragraphs>
  <ScaleCrop>false</ScaleCrop>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2</cp:revision>
  <dcterms:created xsi:type="dcterms:W3CDTF">2024-03-18T09:21:00Z</dcterms:created>
  <dcterms:modified xsi:type="dcterms:W3CDTF">2024-03-18T09:21:00Z</dcterms:modified>
</cp:coreProperties>
</file>