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D1E47" w14:textId="77777777" w:rsidR="003243F7" w:rsidRDefault="003243F7">
      <w:pPr>
        <w:widowControl w:val="0"/>
        <w:ind w:left="0" w:hanging="2"/>
        <w:rPr>
          <w:sz w:val="24"/>
          <w:szCs w:val="24"/>
        </w:rPr>
      </w:pPr>
      <w:bookmarkStart w:id="0" w:name="_heading=h.gjdgxs" w:colFirst="0" w:colLast="0"/>
      <w:bookmarkEnd w:id="0"/>
    </w:p>
    <w:tbl>
      <w:tblPr>
        <w:tblStyle w:val="afffffffffff1"/>
        <w:tblW w:w="8880" w:type="dxa"/>
        <w:tblInd w:w="0" w:type="dxa"/>
        <w:tblLayout w:type="fixed"/>
        <w:tblLook w:val="0000" w:firstRow="0" w:lastRow="0" w:firstColumn="0" w:lastColumn="0" w:noHBand="0" w:noVBand="0"/>
      </w:tblPr>
      <w:tblGrid>
        <w:gridCol w:w="255"/>
        <w:gridCol w:w="8625"/>
      </w:tblGrid>
      <w:tr w:rsidR="003243F7" w14:paraId="1680FE43" w14:textId="77777777">
        <w:trPr>
          <w:trHeight w:val="294"/>
        </w:trPr>
        <w:tc>
          <w:tcPr>
            <w:tcW w:w="255" w:type="dxa"/>
            <w:tcMar>
              <w:top w:w="100" w:type="dxa"/>
              <w:left w:w="100" w:type="dxa"/>
              <w:bottom w:w="100" w:type="dxa"/>
              <w:right w:w="100" w:type="dxa"/>
            </w:tcMar>
          </w:tcPr>
          <w:p w14:paraId="305F4609" w14:textId="77777777" w:rsidR="003243F7" w:rsidRDefault="00B51F8D">
            <w:pPr>
              <w:spacing w:line="240" w:lineRule="auto"/>
              <w:ind w:left="0" w:hanging="2"/>
              <w:jc w:val="right"/>
              <w:rPr>
                <w:rFonts w:ascii="Times New Roman" w:hAnsi="Times New Roman" w:cs="Times New Roman"/>
                <w:sz w:val="24"/>
                <w:szCs w:val="24"/>
              </w:rPr>
            </w:pPr>
            <w:r>
              <w:rPr>
                <w:rFonts w:ascii="Times New Roman" w:hAnsi="Times New Roman" w:cs="Times New Roman"/>
                <w:sz w:val="24"/>
                <w:szCs w:val="24"/>
              </w:rPr>
              <w:br/>
              <w:t> </w:t>
            </w:r>
          </w:p>
        </w:tc>
        <w:tc>
          <w:tcPr>
            <w:tcW w:w="8625" w:type="dxa"/>
            <w:tcMar>
              <w:top w:w="100" w:type="dxa"/>
              <w:left w:w="100" w:type="dxa"/>
              <w:bottom w:w="100" w:type="dxa"/>
              <w:right w:w="100" w:type="dxa"/>
            </w:tcMar>
          </w:tcPr>
          <w:p w14:paraId="520EA29B" w14:textId="73848571" w:rsidR="003243F7" w:rsidRPr="00DF7D3F" w:rsidRDefault="004C5230">
            <w:pPr>
              <w:spacing w:line="240" w:lineRule="auto"/>
              <w:ind w:left="4" w:hanging="6"/>
              <w:jc w:val="right"/>
              <w:rPr>
                <w:rFonts w:ascii="Times New Roman" w:hAnsi="Times New Roman" w:cs="Times New Roman"/>
                <w:sz w:val="24"/>
                <w:szCs w:val="24"/>
                <w:lang w:val="uk-UA"/>
              </w:rPr>
            </w:pPr>
            <w:r>
              <w:rPr>
                <w:rFonts w:ascii="Times New Roman" w:hAnsi="Times New Roman" w:cs="Times New Roman"/>
                <w:b/>
                <w:sz w:val="56"/>
                <w:szCs w:val="56"/>
                <w:lang w:val="uk-UA"/>
              </w:rPr>
              <w:t>8384</w:t>
            </w:r>
          </w:p>
        </w:tc>
      </w:tr>
    </w:tbl>
    <w:p w14:paraId="6DA6FDAB" w14:textId="77777777" w:rsidR="003243F7" w:rsidRDefault="00B51F8D" w:rsidP="0037099E">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ВИСНОВОК</w:t>
      </w:r>
    </w:p>
    <w:p w14:paraId="3A5E8534" w14:textId="77777777" w:rsidR="003243F7" w:rsidRDefault="00B51F8D" w:rsidP="0037099E">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за результатами проведення</w:t>
      </w:r>
    </w:p>
    <w:p w14:paraId="5728EDF0" w14:textId="77777777" w:rsidR="003243F7" w:rsidRDefault="00B51F8D" w:rsidP="0037099E">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 xml:space="preserve">антикорупційної експертизи </w:t>
      </w:r>
      <w:proofErr w:type="spellStart"/>
      <w:r>
        <w:rPr>
          <w:rFonts w:ascii="Times New Roman" w:hAnsi="Times New Roman" w:cs="Times New Roman"/>
          <w:sz w:val="24"/>
          <w:szCs w:val="24"/>
        </w:rPr>
        <w:t>законопроєкту</w:t>
      </w:r>
      <w:proofErr w:type="spellEnd"/>
      <w:r>
        <w:rPr>
          <w:rFonts w:ascii="Times New Roman" w:hAnsi="Times New Roman" w:cs="Times New Roman"/>
          <w:sz w:val="24"/>
          <w:szCs w:val="24"/>
          <w:vertAlign w:val="superscript"/>
        </w:rPr>
        <w:footnoteReference w:id="1"/>
      </w:r>
    </w:p>
    <w:tbl>
      <w:tblPr>
        <w:tblW w:w="957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00" w:firstRow="0" w:lastRow="0" w:firstColumn="0" w:lastColumn="0" w:noHBand="0" w:noVBand="0"/>
      </w:tblPr>
      <w:tblGrid>
        <w:gridCol w:w="2552"/>
        <w:gridCol w:w="7024"/>
      </w:tblGrid>
      <w:tr w:rsidR="004C5230" w:rsidRPr="004C5230" w14:paraId="18784689" w14:textId="77777777" w:rsidTr="001F087A">
        <w:tc>
          <w:tcPr>
            <w:tcW w:w="2552" w:type="dxa"/>
            <w:tcMar>
              <w:top w:w="100" w:type="dxa"/>
              <w:left w:w="100" w:type="dxa"/>
              <w:bottom w:w="100" w:type="dxa"/>
              <w:right w:w="100" w:type="dxa"/>
            </w:tcMar>
          </w:tcPr>
          <w:p w14:paraId="3A34D828"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b/>
                <w:position w:val="0"/>
                <w:sz w:val="24"/>
                <w:szCs w:val="24"/>
                <w:lang w:val="uk-UA"/>
              </w:rPr>
              <w:t>Назва акту</w:t>
            </w:r>
          </w:p>
        </w:tc>
        <w:tc>
          <w:tcPr>
            <w:tcW w:w="7024" w:type="dxa"/>
            <w:tcMar>
              <w:top w:w="100" w:type="dxa"/>
              <w:left w:w="100" w:type="dxa"/>
              <w:bottom w:w="100" w:type="dxa"/>
              <w:right w:w="100" w:type="dxa"/>
            </w:tcMar>
          </w:tcPr>
          <w:p w14:paraId="185538FF" w14:textId="77777777" w:rsidR="004C5230" w:rsidRPr="004C5230" w:rsidRDefault="004C5230" w:rsidP="004C5230">
            <w:pPr>
              <w:pBdr>
                <w:top w:val="nil"/>
                <w:left w:val="nil"/>
                <w:bottom w:val="nil"/>
                <w:right w:val="nil"/>
                <w:between w:val="nil"/>
              </w:pBd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Про внесення змін до Кримінального та Кримінального процесуального кодексів України та інших законів щодо встановлення кримінальної відповідальності за порушення законодавства про санкції</w:t>
            </w:r>
          </w:p>
        </w:tc>
      </w:tr>
      <w:tr w:rsidR="004C5230" w:rsidRPr="004C5230" w14:paraId="60AAAA21" w14:textId="77777777" w:rsidTr="001F087A">
        <w:tc>
          <w:tcPr>
            <w:tcW w:w="2552" w:type="dxa"/>
            <w:shd w:val="clear" w:color="auto" w:fill="FFFFFF"/>
            <w:tcMar>
              <w:top w:w="100" w:type="dxa"/>
              <w:left w:w="100" w:type="dxa"/>
              <w:bottom w:w="100" w:type="dxa"/>
              <w:right w:w="100" w:type="dxa"/>
            </w:tcMar>
          </w:tcPr>
          <w:p w14:paraId="5936BC93"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b/>
                <w:position w:val="0"/>
                <w:sz w:val="24"/>
                <w:szCs w:val="24"/>
                <w:lang w:val="uk-UA"/>
              </w:rPr>
              <w:t>Дата реєстрації</w:t>
            </w:r>
          </w:p>
        </w:tc>
        <w:tc>
          <w:tcPr>
            <w:tcW w:w="7024" w:type="dxa"/>
            <w:tcMar>
              <w:top w:w="100" w:type="dxa"/>
              <w:left w:w="100" w:type="dxa"/>
              <w:bottom w:w="100" w:type="dxa"/>
              <w:right w:w="100" w:type="dxa"/>
            </w:tcMar>
          </w:tcPr>
          <w:p w14:paraId="23ED4632"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25.01.2023 р.</w:t>
            </w:r>
          </w:p>
        </w:tc>
      </w:tr>
      <w:tr w:rsidR="004C5230" w:rsidRPr="004C5230" w14:paraId="1FE3FD13" w14:textId="77777777" w:rsidTr="001F087A">
        <w:trPr>
          <w:trHeight w:val="761"/>
        </w:trPr>
        <w:tc>
          <w:tcPr>
            <w:tcW w:w="2552" w:type="dxa"/>
            <w:tcMar>
              <w:top w:w="100" w:type="dxa"/>
              <w:left w:w="100" w:type="dxa"/>
              <w:bottom w:w="100" w:type="dxa"/>
              <w:right w:w="100" w:type="dxa"/>
            </w:tcMar>
          </w:tcPr>
          <w:p w14:paraId="0E4D9626"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t>Суб’єкт права законодавчої ініціативи</w:t>
            </w:r>
          </w:p>
        </w:tc>
        <w:tc>
          <w:tcPr>
            <w:tcW w:w="7024" w:type="dxa"/>
            <w:tcMar>
              <w:top w:w="100" w:type="dxa"/>
              <w:left w:w="100" w:type="dxa"/>
              <w:bottom w:w="100" w:type="dxa"/>
              <w:right w:w="100" w:type="dxa"/>
            </w:tcMar>
          </w:tcPr>
          <w:p w14:paraId="5185E155"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Народні депутати України</w:t>
            </w:r>
          </w:p>
          <w:p w14:paraId="18225631"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Іонушас</w:t>
            </w:r>
            <w:proofErr w:type="spellEnd"/>
            <w:r w:rsidRPr="004C5230">
              <w:rPr>
                <w:rFonts w:ascii="Times New Roman" w:hAnsi="Times New Roman" w:cs="Times New Roman"/>
                <w:position w:val="0"/>
                <w:sz w:val="24"/>
                <w:szCs w:val="24"/>
                <w:lang w:val="uk-UA"/>
              </w:rPr>
              <w:t xml:space="preserve"> Сергій Костянтинович</w:t>
            </w:r>
          </w:p>
          <w:p w14:paraId="7851673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Арахамія</w:t>
            </w:r>
            <w:proofErr w:type="spellEnd"/>
            <w:r w:rsidRPr="004C5230">
              <w:rPr>
                <w:rFonts w:ascii="Times New Roman" w:hAnsi="Times New Roman" w:cs="Times New Roman"/>
                <w:position w:val="0"/>
                <w:sz w:val="24"/>
                <w:szCs w:val="24"/>
                <w:lang w:val="uk-UA"/>
              </w:rPr>
              <w:t xml:space="preserve"> Давид Георгійович</w:t>
            </w:r>
          </w:p>
          <w:p w14:paraId="65F2C6B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Михайлюк Галина Олегівна</w:t>
            </w:r>
          </w:p>
          <w:p w14:paraId="2DBEF509"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Медяник В'ячеслав Анатолійович</w:t>
            </w:r>
          </w:p>
          <w:p w14:paraId="11CB32D7"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Неклюдов</w:t>
            </w:r>
            <w:proofErr w:type="spellEnd"/>
            <w:r w:rsidRPr="004C5230">
              <w:rPr>
                <w:rFonts w:ascii="Times New Roman" w:hAnsi="Times New Roman" w:cs="Times New Roman"/>
                <w:position w:val="0"/>
                <w:sz w:val="24"/>
                <w:szCs w:val="24"/>
                <w:lang w:val="uk-UA"/>
              </w:rPr>
              <w:t xml:space="preserve"> Владлен Михайлович</w:t>
            </w:r>
          </w:p>
          <w:p w14:paraId="3B6A0A0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Дануца</w:t>
            </w:r>
            <w:proofErr w:type="spellEnd"/>
            <w:r w:rsidRPr="004C5230">
              <w:rPr>
                <w:rFonts w:ascii="Times New Roman" w:hAnsi="Times New Roman" w:cs="Times New Roman"/>
                <w:position w:val="0"/>
                <w:sz w:val="24"/>
                <w:szCs w:val="24"/>
                <w:lang w:val="uk-UA"/>
              </w:rPr>
              <w:t xml:space="preserve"> Олександр Анатолійович</w:t>
            </w:r>
          </w:p>
          <w:p w14:paraId="6E101AB7"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Пушкаренко Арсеній Михайлович</w:t>
            </w:r>
          </w:p>
          <w:p w14:paraId="7ADDCCB2"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Леонов Олексій Олександрович</w:t>
            </w:r>
          </w:p>
          <w:p w14:paraId="2A02D05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Дирдін</w:t>
            </w:r>
            <w:proofErr w:type="spellEnd"/>
            <w:r w:rsidRPr="004C5230">
              <w:rPr>
                <w:rFonts w:ascii="Times New Roman" w:hAnsi="Times New Roman" w:cs="Times New Roman"/>
                <w:position w:val="0"/>
                <w:sz w:val="24"/>
                <w:szCs w:val="24"/>
                <w:lang w:val="uk-UA"/>
              </w:rPr>
              <w:t xml:space="preserve"> Максим Євгенович</w:t>
            </w:r>
          </w:p>
          <w:p w14:paraId="49003176"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w:t>
            </w:r>
            <w:proofErr w:type="spellStart"/>
            <w:r w:rsidRPr="004C5230">
              <w:rPr>
                <w:rFonts w:ascii="Times New Roman" w:hAnsi="Times New Roman" w:cs="Times New Roman"/>
                <w:position w:val="0"/>
                <w:sz w:val="24"/>
                <w:szCs w:val="24"/>
                <w:lang w:val="uk-UA"/>
              </w:rPr>
              <w:t>Жмеренецький</w:t>
            </w:r>
            <w:proofErr w:type="spellEnd"/>
            <w:r w:rsidRPr="004C5230">
              <w:rPr>
                <w:rFonts w:ascii="Times New Roman" w:hAnsi="Times New Roman" w:cs="Times New Roman"/>
                <w:position w:val="0"/>
                <w:sz w:val="24"/>
                <w:szCs w:val="24"/>
                <w:lang w:val="uk-UA"/>
              </w:rPr>
              <w:t xml:space="preserve"> Олексій Сергійович</w:t>
            </w:r>
          </w:p>
          <w:p w14:paraId="2776661E"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Арешонков</w:t>
            </w:r>
            <w:proofErr w:type="spellEnd"/>
            <w:r w:rsidRPr="004C5230">
              <w:rPr>
                <w:rFonts w:ascii="Times New Roman" w:hAnsi="Times New Roman" w:cs="Times New Roman"/>
                <w:position w:val="0"/>
                <w:sz w:val="24"/>
                <w:szCs w:val="24"/>
                <w:lang w:val="uk-UA"/>
              </w:rPr>
              <w:t xml:space="preserve"> Володимир Юрійович</w:t>
            </w:r>
          </w:p>
          <w:p w14:paraId="0438561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w:t>
            </w:r>
            <w:proofErr w:type="spellStart"/>
            <w:r w:rsidRPr="004C5230">
              <w:rPr>
                <w:rFonts w:ascii="Times New Roman" w:hAnsi="Times New Roman" w:cs="Times New Roman"/>
                <w:position w:val="0"/>
                <w:sz w:val="24"/>
                <w:szCs w:val="24"/>
                <w:lang w:val="uk-UA"/>
              </w:rPr>
              <w:t>Копитін</w:t>
            </w:r>
            <w:proofErr w:type="spellEnd"/>
            <w:r w:rsidRPr="004C5230">
              <w:rPr>
                <w:rFonts w:ascii="Times New Roman" w:hAnsi="Times New Roman" w:cs="Times New Roman"/>
                <w:position w:val="0"/>
                <w:sz w:val="24"/>
                <w:szCs w:val="24"/>
                <w:lang w:val="uk-UA"/>
              </w:rPr>
              <w:t xml:space="preserve"> Ігор Володимирович</w:t>
            </w:r>
          </w:p>
          <w:p w14:paraId="004C0F0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w:t>
            </w:r>
            <w:proofErr w:type="spellStart"/>
            <w:r w:rsidRPr="004C5230">
              <w:rPr>
                <w:rFonts w:ascii="Times New Roman" w:hAnsi="Times New Roman" w:cs="Times New Roman"/>
                <w:position w:val="0"/>
                <w:sz w:val="24"/>
                <w:szCs w:val="24"/>
                <w:lang w:val="uk-UA"/>
              </w:rPr>
              <w:t>Вагнєр</w:t>
            </w:r>
            <w:proofErr w:type="spellEnd"/>
            <w:r w:rsidRPr="004C5230">
              <w:rPr>
                <w:rFonts w:ascii="Times New Roman" w:hAnsi="Times New Roman" w:cs="Times New Roman"/>
                <w:position w:val="0"/>
                <w:sz w:val="24"/>
                <w:szCs w:val="24"/>
                <w:lang w:val="uk-UA"/>
              </w:rPr>
              <w:t xml:space="preserve"> Вікторія Олександрівна</w:t>
            </w:r>
          </w:p>
          <w:p w14:paraId="00E9EC8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Веніславський</w:t>
            </w:r>
            <w:proofErr w:type="spellEnd"/>
            <w:r w:rsidRPr="004C5230">
              <w:rPr>
                <w:rFonts w:ascii="Times New Roman" w:hAnsi="Times New Roman" w:cs="Times New Roman"/>
                <w:position w:val="0"/>
                <w:sz w:val="24"/>
                <w:szCs w:val="24"/>
                <w:lang w:val="uk-UA"/>
              </w:rPr>
              <w:t xml:space="preserve"> Федір Володимирович</w:t>
            </w:r>
          </w:p>
          <w:p w14:paraId="29245848"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Горобець Олександр Сергійович</w:t>
            </w:r>
          </w:p>
          <w:p w14:paraId="725B8474"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Припутень Дмитро Сергійович</w:t>
            </w:r>
          </w:p>
          <w:p w14:paraId="3BF54170"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Потураєв</w:t>
            </w:r>
            <w:proofErr w:type="spellEnd"/>
            <w:r w:rsidRPr="004C5230">
              <w:rPr>
                <w:rFonts w:ascii="Times New Roman" w:hAnsi="Times New Roman" w:cs="Times New Roman"/>
                <w:position w:val="0"/>
                <w:sz w:val="24"/>
                <w:szCs w:val="24"/>
                <w:lang w:val="uk-UA"/>
              </w:rPr>
              <w:t xml:space="preserve"> Микита Русланович</w:t>
            </w:r>
          </w:p>
          <w:p w14:paraId="4ADC43B9"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Марченко Людмила Іванівна</w:t>
            </w:r>
          </w:p>
          <w:p w14:paraId="7F1EE878"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Подгорна</w:t>
            </w:r>
            <w:proofErr w:type="spellEnd"/>
            <w:r w:rsidRPr="004C5230">
              <w:rPr>
                <w:rFonts w:ascii="Times New Roman" w:hAnsi="Times New Roman" w:cs="Times New Roman"/>
                <w:position w:val="0"/>
                <w:sz w:val="24"/>
                <w:szCs w:val="24"/>
                <w:lang w:val="uk-UA"/>
              </w:rPr>
              <w:t xml:space="preserve"> Вікторія Валентинівна</w:t>
            </w:r>
          </w:p>
          <w:p w14:paraId="5FC942B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Безгін</w:t>
            </w:r>
            <w:proofErr w:type="spellEnd"/>
            <w:r w:rsidRPr="004C5230">
              <w:rPr>
                <w:rFonts w:ascii="Times New Roman" w:hAnsi="Times New Roman" w:cs="Times New Roman"/>
                <w:position w:val="0"/>
                <w:sz w:val="24"/>
                <w:szCs w:val="24"/>
                <w:lang w:val="uk-UA"/>
              </w:rPr>
              <w:t xml:space="preserve"> Віталій Юрійович</w:t>
            </w:r>
          </w:p>
          <w:p w14:paraId="47127CA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Нікітіна Марина Вікторівна</w:t>
            </w:r>
          </w:p>
          <w:p w14:paraId="2B457973"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Діденко Юлія Олександрівна</w:t>
            </w:r>
          </w:p>
          <w:p w14:paraId="2350F5A3"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Іванов Володимир Ілліч</w:t>
            </w:r>
          </w:p>
          <w:p w14:paraId="73EC4547"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Шуляк Олена Олексіївна</w:t>
            </w:r>
          </w:p>
          <w:p w14:paraId="4A2AB78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lastRenderedPageBreak/>
              <w:t>Кравчук Євгенія Михайлівна</w:t>
            </w:r>
          </w:p>
          <w:p w14:paraId="63D027F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Мезенцева Марія Сергіївна</w:t>
            </w:r>
          </w:p>
          <w:p w14:paraId="439ADC3E"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Кузьміних Сергій Володимирович</w:t>
            </w:r>
          </w:p>
          <w:p w14:paraId="27000D5E"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w:t>
            </w:r>
            <w:proofErr w:type="spellStart"/>
            <w:r w:rsidRPr="004C5230">
              <w:rPr>
                <w:rFonts w:ascii="Times New Roman" w:hAnsi="Times New Roman" w:cs="Times New Roman"/>
                <w:position w:val="0"/>
                <w:sz w:val="24"/>
                <w:szCs w:val="24"/>
                <w:lang w:val="uk-UA"/>
              </w:rPr>
              <w:t>Колєв</w:t>
            </w:r>
            <w:proofErr w:type="spellEnd"/>
            <w:r w:rsidRPr="004C5230">
              <w:rPr>
                <w:rFonts w:ascii="Times New Roman" w:hAnsi="Times New Roman" w:cs="Times New Roman"/>
                <w:position w:val="0"/>
                <w:sz w:val="24"/>
                <w:szCs w:val="24"/>
                <w:lang w:val="uk-UA"/>
              </w:rPr>
              <w:t xml:space="preserve"> Олег Вікторович</w:t>
            </w:r>
          </w:p>
          <w:p w14:paraId="480D96A1"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Кицак</w:t>
            </w:r>
            <w:proofErr w:type="spellEnd"/>
            <w:r w:rsidRPr="004C5230">
              <w:rPr>
                <w:rFonts w:ascii="Times New Roman" w:hAnsi="Times New Roman" w:cs="Times New Roman"/>
                <w:position w:val="0"/>
                <w:sz w:val="24"/>
                <w:szCs w:val="24"/>
                <w:lang w:val="uk-UA"/>
              </w:rPr>
              <w:t xml:space="preserve"> Богдан Вікторович</w:t>
            </w:r>
          </w:p>
          <w:p w14:paraId="4C588344"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Павлюк Максим Васильович</w:t>
            </w:r>
          </w:p>
          <w:p w14:paraId="7AB0AD4D"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Мисягін</w:t>
            </w:r>
            <w:proofErr w:type="spellEnd"/>
            <w:r w:rsidRPr="004C5230">
              <w:rPr>
                <w:rFonts w:ascii="Times New Roman" w:hAnsi="Times New Roman" w:cs="Times New Roman"/>
                <w:position w:val="0"/>
                <w:sz w:val="24"/>
                <w:szCs w:val="24"/>
                <w:lang w:val="uk-UA"/>
              </w:rPr>
              <w:t xml:space="preserve"> Юрій Михайлович</w:t>
            </w:r>
          </w:p>
          <w:p w14:paraId="66F56EDD"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Костюх</w:t>
            </w:r>
            <w:proofErr w:type="spellEnd"/>
            <w:r w:rsidRPr="004C5230">
              <w:rPr>
                <w:rFonts w:ascii="Times New Roman" w:hAnsi="Times New Roman" w:cs="Times New Roman"/>
                <w:position w:val="0"/>
                <w:sz w:val="24"/>
                <w:szCs w:val="24"/>
                <w:lang w:val="uk-UA"/>
              </w:rPr>
              <w:t xml:space="preserve"> Анатолій </w:t>
            </w:r>
            <w:proofErr w:type="spellStart"/>
            <w:r w:rsidRPr="004C5230">
              <w:rPr>
                <w:rFonts w:ascii="Times New Roman" w:hAnsi="Times New Roman" w:cs="Times New Roman"/>
                <w:position w:val="0"/>
                <w:sz w:val="24"/>
                <w:szCs w:val="24"/>
                <w:lang w:val="uk-UA"/>
              </w:rPr>
              <w:t>Вячеславович</w:t>
            </w:r>
            <w:proofErr w:type="spellEnd"/>
          </w:p>
          <w:p w14:paraId="70AAF2E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Рєпіна Елла Анатоліївна</w:t>
            </w:r>
          </w:p>
          <w:p w14:paraId="69360B05"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Гринчук</w:t>
            </w:r>
            <w:proofErr w:type="spellEnd"/>
            <w:r w:rsidRPr="004C5230">
              <w:rPr>
                <w:rFonts w:ascii="Times New Roman" w:hAnsi="Times New Roman" w:cs="Times New Roman"/>
                <w:position w:val="0"/>
                <w:sz w:val="24"/>
                <w:szCs w:val="24"/>
                <w:lang w:val="uk-UA"/>
              </w:rPr>
              <w:t xml:space="preserve"> Оксана Анатоліївна</w:t>
            </w:r>
          </w:p>
          <w:p w14:paraId="59519D26"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Лічман</w:t>
            </w:r>
            <w:proofErr w:type="spellEnd"/>
            <w:r w:rsidRPr="004C5230">
              <w:rPr>
                <w:rFonts w:ascii="Times New Roman" w:hAnsi="Times New Roman" w:cs="Times New Roman"/>
                <w:position w:val="0"/>
                <w:sz w:val="24"/>
                <w:szCs w:val="24"/>
                <w:lang w:val="uk-UA"/>
              </w:rPr>
              <w:t xml:space="preserve"> Ганна Василівна</w:t>
            </w:r>
          </w:p>
          <w:p w14:paraId="2B06AEF2"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Мельник Павло Вікторович</w:t>
            </w:r>
          </w:p>
          <w:p w14:paraId="3A724238"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Тищенко Микола Миколайович</w:t>
            </w:r>
          </w:p>
          <w:p w14:paraId="4C63430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Кісєль</w:t>
            </w:r>
            <w:proofErr w:type="spellEnd"/>
            <w:r w:rsidRPr="004C5230">
              <w:rPr>
                <w:rFonts w:ascii="Times New Roman" w:hAnsi="Times New Roman" w:cs="Times New Roman"/>
                <w:position w:val="0"/>
                <w:sz w:val="24"/>
                <w:szCs w:val="24"/>
                <w:lang w:val="uk-UA"/>
              </w:rPr>
              <w:t xml:space="preserve"> Юрій Григорович</w:t>
            </w:r>
          </w:p>
          <w:p w14:paraId="171001F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Нагаєвський</w:t>
            </w:r>
            <w:proofErr w:type="spellEnd"/>
            <w:r w:rsidRPr="004C5230">
              <w:rPr>
                <w:rFonts w:ascii="Times New Roman" w:hAnsi="Times New Roman" w:cs="Times New Roman"/>
                <w:position w:val="0"/>
                <w:sz w:val="24"/>
                <w:szCs w:val="24"/>
                <w:lang w:val="uk-UA"/>
              </w:rPr>
              <w:t xml:space="preserve"> Артем Сергійович</w:t>
            </w:r>
          </w:p>
          <w:p w14:paraId="5C2956E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Негулевський</w:t>
            </w:r>
            <w:proofErr w:type="spellEnd"/>
            <w:r w:rsidRPr="004C5230">
              <w:rPr>
                <w:rFonts w:ascii="Times New Roman" w:hAnsi="Times New Roman" w:cs="Times New Roman"/>
                <w:position w:val="0"/>
                <w:sz w:val="24"/>
                <w:szCs w:val="24"/>
                <w:lang w:val="uk-UA"/>
              </w:rPr>
              <w:t xml:space="preserve"> Ігор Петрович</w:t>
            </w:r>
          </w:p>
          <w:p w14:paraId="38F879E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Пашковський Максим Ігорович</w:t>
            </w:r>
          </w:p>
          <w:p w14:paraId="2F6A1293"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Горенюк</w:t>
            </w:r>
            <w:proofErr w:type="spellEnd"/>
            <w:r w:rsidRPr="004C5230">
              <w:rPr>
                <w:rFonts w:ascii="Times New Roman" w:hAnsi="Times New Roman" w:cs="Times New Roman"/>
                <w:position w:val="0"/>
                <w:sz w:val="24"/>
                <w:szCs w:val="24"/>
                <w:lang w:val="uk-UA"/>
              </w:rPr>
              <w:t xml:space="preserve"> Олександр Олександрович</w:t>
            </w:r>
          </w:p>
          <w:p w14:paraId="135761F4"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Вірастюк Василь Ярославович</w:t>
            </w:r>
          </w:p>
          <w:p w14:paraId="1A558B3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Камельчук</w:t>
            </w:r>
            <w:proofErr w:type="spellEnd"/>
            <w:r w:rsidRPr="004C5230">
              <w:rPr>
                <w:rFonts w:ascii="Times New Roman" w:hAnsi="Times New Roman" w:cs="Times New Roman"/>
                <w:position w:val="0"/>
                <w:sz w:val="24"/>
                <w:szCs w:val="24"/>
                <w:lang w:val="uk-UA"/>
              </w:rPr>
              <w:t xml:space="preserve"> Юрій Олександрович</w:t>
            </w:r>
          </w:p>
          <w:p w14:paraId="5ECB3C1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Бондаренко Олег Володимирович</w:t>
            </w:r>
          </w:p>
          <w:p w14:paraId="35CDEAA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Бакумов</w:t>
            </w:r>
            <w:proofErr w:type="spellEnd"/>
            <w:r w:rsidRPr="004C5230">
              <w:rPr>
                <w:rFonts w:ascii="Times New Roman" w:hAnsi="Times New Roman" w:cs="Times New Roman"/>
                <w:position w:val="0"/>
                <w:sz w:val="24"/>
                <w:szCs w:val="24"/>
                <w:lang w:val="uk-UA"/>
              </w:rPr>
              <w:t xml:space="preserve"> Олександр Сергійович</w:t>
            </w:r>
          </w:p>
          <w:p w14:paraId="37B07C8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Кострійчук</w:t>
            </w:r>
            <w:proofErr w:type="spellEnd"/>
            <w:r w:rsidRPr="004C5230">
              <w:rPr>
                <w:rFonts w:ascii="Times New Roman" w:hAnsi="Times New Roman" w:cs="Times New Roman"/>
                <w:position w:val="0"/>
                <w:sz w:val="24"/>
                <w:szCs w:val="24"/>
                <w:lang w:val="uk-UA"/>
              </w:rPr>
              <w:t xml:space="preserve"> Сергій Володимирович</w:t>
            </w:r>
          </w:p>
          <w:p w14:paraId="08A75D02"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Ватрас</w:t>
            </w:r>
            <w:proofErr w:type="spellEnd"/>
            <w:r w:rsidRPr="004C5230">
              <w:rPr>
                <w:rFonts w:ascii="Times New Roman" w:hAnsi="Times New Roman" w:cs="Times New Roman"/>
                <w:position w:val="0"/>
                <w:sz w:val="24"/>
                <w:szCs w:val="24"/>
                <w:lang w:val="uk-UA"/>
              </w:rPr>
              <w:t xml:space="preserve"> Володимир Антонович</w:t>
            </w:r>
          </w:p>
          <w:p w14:paraId="17A7CE26"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Безугла Мар'яна Володимирівна</w:t>
            </w:r>
          </w:p>
          <w:p w14:paraId="1B9C5908"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Красов</w:t>
            </w:r>
            <w:proofErr w:type="spellEnd"/>
            <w:r w:rsidRPr="004C5230">
              <w:rPr>
                <w:rFonts w:ascii="Times New Roman" w:hAnsi="Times New Roman" w:cs="Times New Roman"/>
                <w:position w:val="0"/>
                <w:sz w:val="24"/>
                <w:szCs w:val="24"/>
                <w:lang w:val="uk-UA"/>
              </w:rPr>
              <w:t xml:space="preserve"> Олексій Ігорович</w:t>
            </w:r>
          </w:p>
          <w:p w14:paraId="5810377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Третьякова Галина Миколаївна</w:t>
            </w:r>
          </w:p>
          <w:p w14:paraId="012D7701"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Захарченко Володимир Васильович</w:t>
            </w:r>
          </w:p>
          <w:p w14:paraId="483B0481"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Юрчишин Ярослав Романович</w:t>
            </w:r>
          </w:p>
          <w:p w14:paraId="1B28A9F9"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Сова Олександр Георгійович</w:t>
            </w:r>
          </w:p>
          <w:p w14:paraId="020D83F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Фріс</w:t>
            </w:r>
            <w:proofErr w:type="spellEnd"/>
            <w:r w:rsidRPr="004C5230">
              <w:rPr>
                <w:rFonts w:ascii="Times New Roman" w:hAnsi="Times New Roman" w:cs="Times New Roman"/>
                <w:position w:val="0"/>
                <w:sz w:val="24"/>
                <w:szCs w:val="24"/>
                <w:lang w:val="uk-UA"/>
              </w:rPr>
              <w:t xml:space="preserve"> Ігор Павлович</w:t>
            </w:r>
          </w:p>
          <w:p w14:paraId="5B8D1BC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Торохтій Богдан Григорович</w:t>
            </w:r>
          </w:p>
          <w:p w14:paraId="4F70B60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Васюк</w:t>
            </w:r>
            <w:proofErr w:type="spellEnd"/>
            <w:r w:rsidRPr="004C5230">
              <w:rPr>
                <w:rFonts w:ascii="Times New Roman" w:hAnsi="Times New Roman" w:cs="Times New Roman"/>
                <w:position w:val="0"/>
                <w:sz w:val="24"/>
                <w:szCs w:val="24"/>
                <w:lang w:val="uk-UA"/>
              </w:rPr>
              <w:t xml:space="preserve"> Олександр Олександрович</w:t>
            </w:r>
          </w:p>
          <w:p w14:paraId="32053079"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Фролов</w:t>
            </w:r>
            <w:proofErr w:type="spellEnd"/>
            <w:r w:rsidRPr="004C5230">
              <w:rPr>
                <w:rFonts w:ascii="Times New Roman" w:hAnsi="Times New Roman" w:cs="Times New Roman"/>
                <w:position w:val="0"/>
                <w:sz w:val="24"/>
                <w:szCs w:val="24"/>
                <w:lang w:val="uk-UA"/>
              </w:rPr>
              <w:t xml:space="preserve"> Павло Валерійович</w:t>
            </w:r>
          </w:p>
          <w:p w14:paraId="0C214F54"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Гришина Юлія Миколаївна</w:t>
            </w:r>
          </w:p>
          <w:p w14:paraId="74ECF3E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Копанчук</w:t>
            </w:r>
            <w:proofErr w:type="spellEnd"/>
            <w:r w:rsidRPr="004C5230">
              <w:rPr>
                <w:rFonts w:ascii="Times New Roman" w:hAnsi="Times New Roman" w:cs="Times New Roman"/>
                <w:position w:val="0"/>
                <w:sz w:val="24"/>
                <w:szCs w:val="24"/>
                <w:lang w:val="uk-UA"/>
              </w:rPr>
              <w:t xml:space="preserve"> Олена Євгенівна</w:t>
            </w:r>
          </w:p>
          <w:p w14:paraId="41569D98"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Тістик</w:t>
            </w:r>
            <w:proofErr w:type="spellEnd"/>
            <w:r w:rsidRPr="004C5230">
              <w:rPr>
                <w:rFonts w:ascii="Times New Roman" w:hAnsi="Times New Roman" w:cs="Times New Roman"/>
                <w:position w:val="0"/>
                <w:sz w:val="24"/>
                <w:szCs w:val="24"/>
                <w:lang w:val="uk-UA"/>
              </w:rPr>
              <w:t xml:space="preserve"> Ростислав Ярославович</w:t>
            </w:r>
          </w:p>
          <w:p w14:paraId="32E8A99C"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Кузбит</w:t>
            </w:r>
            <w:proofErr w:type="spellEnd"/>
            <w:r w:rsidRPr="004C5230">
              <w:rPr>
                <w:rFonts w:ascii="Times New Roman" w:hAnsi="Times New Roman" w:cs="Times New Roman"/>
                <w:position w:val="0"/>
                <w:sz w:val="24"/>
                <w:szCs w:val="24"/>
                <w:lang w:val="uk-UA"/>
              </w:rPr>
              <w:t xml:space="preserve"> Юрій Михайлович</w:t>
            </w:r>
          </w:p>
          <w:p w14:paraId="22BF93E6"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Стернійчук</w:t>
            </w:r>
            <w:proofErr w:type="spellEnd"/>
            <w:r w:rsidRPr="004C5230">
              <w:rPr>
                <w:rFonts w:ascii="Times New Roman" w:hAnsi="Times New Roman" w:cs="Times New Roman"/>
                <w:position w:val="0"/>
                <w:sz w:val="24"/>
                <w:szCs w:val="24"/>
                <w:lang w:val="uk-UA"/>
              </w:rPr>
              <w:t xml:space="preserve"> Валерій Олександрович</w:t>
            </w:r>
          </w:p>
          <w:p w14:paraId="2A99AA4F"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Павловський Петро Іванович</w:t>
            </w:r>
          </w:p>
          <w:p w14:paraId="642764AD"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Остапенко Анатолій Дмитрович</w:t>
            </w:r>
          </w:p>
          <w:p w14:paraId="564E21BB"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Мінько</w:t>
            </w:r>
            <w:proofErr w:type="spellEnd"/>
            <w:r w:rsidRPr="004C5230">
              <w:rPr>
                <w:rFonts w:ascii="Times New Roman" w:hAnsi="Times New Roman" w:cs="Times New Roman"/>
                <w:position w:val="0"/>
                <w:sz w:val="24"/>
                <w:szCs w:val="24"/>
                <w:lang w:val="uk-UA"/>
              </w:rPr>
              <w:t xml:space="preserve"> Сергій Анатолійович</w:t>
            </w:r>
          </w:p>
          <w:p w14:paraId="0E70D775"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Ткаченко Максим Миколайович</w:t>
            </w:r>
          </w:p>
          <w:p w14:paraId="1A0652C9"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Кормишкіна</w:t>
            </w:r>
            <w:proofErr w:type="spellEnd"/>
            <w:r w:rsidRPr="004C5230">
              <w:rPr>
                <w:rFonts w:ascii="Times New Roman" w:hAnsi="Times New Roman" w:cs="Times New Roman"/>
                <w:position w:val="0"/>
                <w:sz w:val="24"/>
                <w:szCs w:val="24"/>
                <w:lang w:val="uk-UA"/>
              </w:rPr>
              <w:t xml:space="preserve"> Ірина Валеріївна</w:t>
            </w:r>
          </w:p>
          <w:p w14:paraId="7FA2B418" w14:textId="77777777" w:rsidR="004C5230" w:rsidRPr="004C5230" w:rsidRDefault="004C5230" w:rsidP="004C5230">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Горбенко Руслан Олександрович</w:t>
            </w:r>
          </w:p>
        </w:tc>
      </w:tr>
      <w:tr w:rsidR="004C5230" w:rsidRPr="004C5230" w14:paraId="0E9C9682" w14:textId="77777777" w:rsidTr="001F087A">
        <w:trPr>
          <w:trHeight w:val="287"/>
        </w:trPr>
        <w:tc>
          <w:tcPr>
            <w:tcW w:w="2552" w:type="dxa"/>
            <w:tcMar>
              <w:top w:w="100" w:type="dxa"/>
              <w:left w:w="100" w:type="dxa"/>
              <w:bottom w:w="100" w:type="dxa"/>
              <w:right w:w="100" w:type="dxa"/>
            </w:tcMar>
          </w:tcPr>
          <w:p w14:paraId="08707B3A"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lastRenderedPageBreak/>
              <w:t>Головний комітет</w:t>
            </w:r>
          </w:p>
        </w:tc>
        <w:tc>
          <w:tcPr>
            <w:tcW w:w="7024" w:type="dxa"/>
            <w:tcMar>
              <w:top w:w="100" w:type="dxa"/>
              <w:left w:w="100" w:type="dxa"/>
              <w:bottom w:w="100" w:type="dxa"/>
              <w:right w:w="100" w:type="dxa"/>
            </w:tcMar>
          </w:tcPr>
          <w:p w14:paraId="5E3411D2" w14:textId="577C7C29"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Комітет з питань</w:t>
            </w:r>
            <w:r>
              <w:t xml:space="preserve"> </w:t>
            </w:r>
            <w:r w:rsidRPr="004C5230">
              <w:rPr>
                <w:rFonts w:ascii="Times New Roman" w:hAnsi="Times New Roman" w:cs="Times New Roman"/>
                <w:position w:val="0"/>
                <w:sz w:val="24"/>
                <w:szCs w:val="24"/>
                <w:lang w:val="uk-UA"/>
              </w:rPr>
              <w:t>правоохоронної діяльності</w:t>
            </w:r>
          </w:p>
        </w:tc>
      </w:tr>
      <w:tr w:rsidR="004C5230" w:rsidRPr="004C5230" w14:paraId="3BC23E82" w14:textId="77777777" w:rsidTr="001F087A">
        <w:trPr>
          <w:trHeight w:val="287"/>
        </w:trPr>
        <w:tc>
          <w:tcPr>
            <w:tcW w:w="2552" w:type="dxa"/>
            <w:tcMar>
              <w:top w:w="100" w:type="dxa"/>
              <w:left w:w="100" w:type="dxa"/>
              <w:bottom w:w="100" w:type="dxa"/>
              <w:right w:w="100" w:type="dxa"/>
            </w:tcMar>
          </w:tcPr>
          <w:p w14:paraId="2846BE50"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t>Висновок та рекомендації</w:t>
            </w:r>
          </w:p>
        </w:tc>
        <w:tc>
          <w:tcPr>
            <w:tcW w:w="7024" w:type="dxa"/>
            <w:tcMar>
              <w:top w:w="100" w:type="dxa"/>
              <w:left w:w="100" w:type="dxa"/>
              <w:bottom w:w="100" w:type="dxa"/>
              <w:right w:w="100" w:type="dxa"/>
            </w:tcMar>
          </w:tcPr>
          <w:p w14:paraId="3CFFC8AC" w14:textId="77777777" w:rsidR="004C5230" w:rsidRPr="004C5230" w:rsidRDefault="004C5230" w:rsidP="004C5230">
            <w:pPr>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Зауваження</w:t>
            </w:r>
          </w:p>
        </w:tc>
      </w:tr>
    </w:tbl>
    <w:p w14:paraId="25E4DAC5" w14:textId="77777777" w:rsidR="004C5230" w:rsidRPr="004C5230" w:rsidRDefault="004C5230" w:rsidP="004C5230">
      <w:pPr>
        <w:suppressAutoHyphens w:val="0"/>
        <w:spacing w:line="240" w:lineRule="auto"/>
        <w:ind w:leftChars="0" w:left="0" w:firstLineChars="0" w:firstLine="0"/>
        <w:jc w:val="both"/>
        <w:textDirection w:val="lrTb"/>
        <w:textAlignment w:val="auto"/>
        <w:outlineLvl w:val="9"/>
        <w:rPr>
          <w:rFonts w:ascii="Times New Roman" w:hAnsi="Times New Roman" w:cs="Times New Roman"/>
          <w:b/>
          <w:position w:val="0"/>
          <w:sz w:val="24"/>
          <w:szCs w:val="24"/>
          <w:lang w:val="uk-UA"/>
        </w:rPr>
      </w:pPr>
    </w:p>
    <w:p w14:paraId="57A96D5D"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19D572A9"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lastRenderedPageBreak/>
        <w:t>Резюме</w:t>
      </w:r>
    </w:p>
    <w:p w14:paraId="2C9C8A1F"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proofErr w:type="spellStart"/>
      <w:r w:rsidRPr="004C5230">
        <w:rPr>
          <w:rFonts w:ascii="Times New Roman" w:hAnsi="Times New Roman" w:cs="Times New Roman"/>
          <w:position w:val="0"/>
          <w:sz w:val="24"/>
          <w:szCs w:val="24"/>
          <w:lang w:val="uk-UA"/>
        </w:rPr>
        <w:t>Законопроєктом</w:t>
      </w:r>
      <w:proofErr w:type="spellEnd"/>
      <w:r w:rsidRPr="004C5230">
        <w:rPr>
          <w:rFonts w:ascii="Times New Roman" w:hAnsi="Times New Roman" w:cs="Times New Roman"/>
          <w:position w:val="0"/>
          <w:sz w:val="24"/>
          <w:szCs w:val="24"/>
          <w:lang w:val="uk-UA"/>
        </w:rPr>
        <w:t xml:space="preserve"> пропонується </w:t>
      </w:r>
      <w:proofErr w:type="spellStart"/>
      <w:r w:rsidRPr="004C5230">
        <w:rPr>
          <w:rFonts w:ascii="Times New Roman" w:hAnsi="Times New Roman" w:cs="Times New Roman"/>
          <w:position w:val="0"/>
          <w:sz w:val="24"/>
          <w:szCs w:val="24"/>
          <w:lang w:val="uk-UA"/>
        </w:rPr>
        <w:t>внести</w:t>
      </w:r>
      <w:proofErr w:type="spellEnd"/>
      <w:r w:rsidRPr="004C5230">
        <w:rPr>
          <w:rFonts w:ascii="Times New Roman" w:hAnsi="Times New Roman" w:cs="Times New Roman"/>
          <w:position w:val="0"/>
          <w:sz w:val="24"/>
          <w:szCs w:val="24"/>
          <w:lang w:val="uk-UA"/>
        </w:rPr>
        <w:t xml:space="preserve"> зміни до Кримінального кодексу України щодо запровадження відповідальності за порушення вимог законодавства про санкції.</w:t>
      </w:r>
    </w:p>
    <w:p w14:paraId="0C6BA11B"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1810341F"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t>Аналіз запропонованих змін</w:t>
      </w:r>
    </w:p>
    <w:p w14:paraId="40AC3C4A"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 До переліку злочинів проти основ національної безпеки включено статтю 111-3, яка передбачає кримінальну відповідальність за “Порушення вимог законодавства про санкції”. </w:t>
      </w:r>
    </w:p>
    <w:p w14:paraId="2A91B11C"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i/>
          <w:position w:val="0"/>
          <w:sz w:val="24"/>
          <w:szCs w:val="24"/>
          <w:lang w:val="uk-UA"/>
        </w:rPr>
      </w:pPr>
      <w:r w:rsidRPr="004C5230">
        <w:rPr>
          <w:rFonts w:ascii="Times New Roman" w:hAnsi="Times New Roman" w:cs="Times New Roman"/>
          <w:position w:val="0"/>
          <w:sz w:val="24"/>
          <w:szCs w:val="24"/>
          <w:lang w:val="uk-UA"/>
        </w:rPr>
        <w:t xml:space="preserve">Диспозиція статті: </w:t>
      </w:r>
      <w:r w:rsidRPr="004C5230">
        <w:rPr>
          <w:rFonts w:ascii="Times New Roman" w:hAnsi="Times New Roman" w:cs="Times New Roman"/>
          <w:i/>
          <w:position w:val="0"/>
          <w:sz w:val="24"/>
          <w:szCs w:val="24"/>
          <w:lang w:val="uk-UA"/>
        </w:rPr>
        <w:t>“Невиконання, перешкоджання виконанню або ухилення від виконання спеціальних економічних та/або інших обмежувальних заходів (санкцій)”.</w:t>
      </w:r>
    </w:p>
    <w:p w14:paraId="32444AED"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Відповідальність за частиною першою: штраф від десяти до п’ятнадцяти тисяч неоподатковуваних мінімумів доходів громадян (НМДГ) або позбавлення волі на строк від п’яти до семи років, з конфіскацією майна або без такої.</w:t>
      </w:r>
    </w:p>
    <w:p w14:paraId="00FB3214"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Кваліфікуючі ознаки: повторно або за попередньою змовою групою осіб, або у значному розмірі (частина 2); вчинення діяння службовою особою або особою, яка здійснює професійну діяльність, пов'язану з наданням публічних послуг або у великому розмірі (частина 3); вчинення діяння службовою особою, яка займає відповідальне становище, або організованою групою (частина 4); вчинення діяння службовою особою, яка займає особливо відповідальне становище, або злочинною організацією, або у особливо великому розмірі (частина 5).</w:t>
      </w:r>
    </w:p>
    <w:p w14:paraId="3FBCE3C9"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До санкцій відносяться ті, рішення щодо застосування яких прийняте відповідно до Закону України «Про санкції» Радою національної  безпеки та оборони України, яке введене в дію Указом Президента України, або ухвалене судом.</w:t>
      </w:r>
    </w:p>
    <w:p w14:paraId="4C7B6A8A"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Підслідність визначена за Службою безпеки України.</w:t>
      </w:r>
    </w:p>
    <w:p w14:paraId="35B3113E"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Можливе застосування спеціальної конфіскації та заходів кримінально-правового характеру.</w:t>
      </w:r>
    </w:p>
    <w:p w14:paraId="31A93A96" w14:textId="77777777" w:rsidR="004C5230" w:rsidRPr="004C5230" w:rsidRDefault="004C5230" w:rsidP="004C5230">
      <w:pPr>
        <w:suppressAutoHyphens w:val="0"/>
        <w:spacing w:line="240" w:lineRule="auto"/>
        <w:ind w:leftChars="0" w:left="0" w:firstLineChars="0" w:firstLine="0"/>
        <w:jc w:val="both"/>
        <w:textDirection w:val="lrTb"/>
        <w:textAlignment w:val="auto"/>
        <w:outlineLvl w:val="9"/>
        <w:rPr>
          <w:rFonts w:ascii="Times New Roman" w:hAnsi="Times New Roman" w:cs="Times New Roman"/>
          <w:b/>
          <w:position w:val="0"/>
          <w:sz w:val="24"/>
          <w:szCs w:val="24"/>
          <w:lang w:val="uk-UA"/>
        </w:rPr>
      </w:pPr>
    </w:p>
    <w:p w14:paraId="443955C6" w14:textId="77777777" w:rsidR="004C5230" w:rsidRPr="004C5230" w:rsidRDefault="004C5230" w:rsidP="004C5230">
      <w:pPr>
        <w:suppressAutoHyphens w:val="0"/>
        <w:spacing w:line="240" w:lineRule="auto"/>
        <w:ind w:leftChars="0" w:left="-2" w:firstLineChars="0" w:firstLine="715"/>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i/>
          <w:position w:val="0"/>
          <w:sz w:val="24"/>
          <w:szCs w:val="24"/>
          <w:lang w:val="uk-UA"/>
        </w:rPr>
        <w:t xml:space="preserve">В результаті проведення антикорупційної експертизи </w:t>
      </w:r>
      <w:proofErr w:type="spellStart"/>
      <w:r w:rsidRPr="004C5230">
        <w:rPr>
          <w:rFonts w:ascii="Times New Roman" w:hAnsi="Times New Roman" w:cs="Times New Roman"/>
          <w:b/>
          <w:i/>
          <w:position w:val="0"/>
          <w:sz w:val="24"/>
          <w:szCs w:val="24"/>
          <w:lang w:val="uk-UA"/>
        </w:rPr>
        <w:t>законопроєкту</w:t>
      </w:r>
      <w:proofErr w:type="spellEnd"/>
      <w:r w:rsidRPr="004C5230">
        <w:rPr>
          <w:rFonts w:ascii="Times New Roman" w:hAnsi="Times New Roman" w:cs="Times New Roman"/>
          <w:b/>
          <w:i/>
          <w:position w:val="0"/>
          <w:sz w:val="24"/>
          <w:szCs w:val="24"/>
          <w:lang w:val="uk-UA"/>
        </w:rPr>
        <w:t xml:space="preserve"> Інститут законодавчих ідей не виявив в його положеннях </w:t>
      </w:r>
      <w:proofErr w:type="spellStart"/>
      <w:r w:rsidRPr="004C5230">
        <w:rPr>
          <w:rFonts w:ascii="Times New Roman" w:hAnsi="Times New Roman" w:cs="Times New Roman"/>
          <w:b/>
          <w:i/>
          <w:position w:val="0"/>
          <w:sz w:val="24"/>
          <w:szCs w:val="24"/>
          <w:lang w:val="uk-UA"/>
        </w:rPr>
        <w:t>корупціогенний</w:t>
      </w:r>
      <w:proofErr w:type="spellEnd"/>
      <w:r w:rsidRPr="004C5230">
        <w:rPr>
          <w:rFonts w:ascii="Times New Roman" w:hAnsi="Times New Roman" w:cs="Times New Roman"/>
          <w:b/>
          <w:i/>
          <w:position w:val="0"/>
          <w:sz w:val="24"/>
          <w:szCs w:val="24"/>
          <w:lang w:val="uk-UA"/>
        </w:rPr>
        <w:t xml:space="preserve"> фактор, однак наявні зауваження по суті.</w:t>
      </w:r>
    </w:p>
    <w:p w14:paraId="669C5921"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17143CC7"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t>Зауваження</w:t>
      </w:r>
    </w:p>
    <w:p w14:paraId="7E6C6672"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1FA3208C"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i/>
          <w:position w:val="0"/>
          <w:sz w:val="24"/>
          <w:szCs w:val="24"/>
          <w:lang w:val="uk-UA"/>
        </w:rPr>
        <w:t>1. Розміщення норми про порушення вимог санкцій в системі Особливої частини КК</w:t>
      </w:r>
      <w:r w:rsidRPr="004C5230">
        <w:rPr>
          <w:rFonts w:ascii="Times New Roman" w:hAnsi="Times New Roman" w:cs="Times New Roman"/>
          <w:b/>
          <w:position w:val="0"/>
          <w:sz w:val="24"/>
          <w:szCs w:val="24"/>
          <w:lang w:val="uk-UA"/>
        </w:rPr>
        <w:t xml:space="preserve">. </w:t>
      </w:r>
    </w:p>
    <w:p w14:paraId="50245B86"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Так, вказану статтю пропонується розмістити у в Розділі І «Злочини проти основ національної безпеки України» Особливої частини КК, тобто родовим об’єктом кримінального правопорушення будуть основи національної безпеки України. </w:t>
      </w:r>
    </w:p>
    <w:p w14:paraId="1DD7F428"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У пояснювальній записці до </w:t>
      </w:r>
      <w:proofErr w:type="spellStart"/>
      <w:r w:rsidRPr="004C5230">
        <w:rPr>
          <w:rFonts w:ascii="Times New Roman" w:hAnsi="Times New Roman" w:cs="Times New Roman"/>
          <w:position w:val="0"/>
          <w:sz w:val="24"/>
          <w:szCs w:val="24"/>
          <w:lang w:val="uk-UA"/>
        </w:rPr>
        <w:t>законопроєкту</w:t>
      </w:r>
      <w:proofErr w:type="spellEnd"/>
      <w:r w:rsidRPr="004C5230">
        <w:rPr>
          <w:rFonts w:ascii="Times New Roman" w:hAnsi="Times New Roman" w:cs="Times New Roman"/>
          <w:position w:val="0"/>
          <w:sz w:val="24"/>
          <w:szCs w:val="24"/>
          <w:lang w:val="uk-UA"/>
        </w:rPr>
        <w:t xml:space="preserve"> автори обґрунтовують таке розміщення виходячи з законодавчого визначення санкцій, які застосовуються з метою захисту національних інтересів, національної безпеки, суверенітету і територіальної цілісності України, протидії терористичній діяльності, а також запобігання порушенню, відновлення порушених прав, свобод та законних інтересів громадян України, суспільства та держави</w:t>
      </w:r>
      <w:r w:rsidRPr="004C5230">
        <w:rPr>
          <w:rFonts w:ascii="Times New Roman" w:hAnsi="Times New Roman" w:cs="Times New Roman"/>
          <w:position w:val="0"/>
          <w:sz w:val="24"/>
          <w:szCs w:val="24"/>
          <w:vertAlign w:val="superscript"/>
          <w:lang w:val="uk-UA"/>
        </w:rPr>
        <w:footnoteReference w:id="2"/>
      </w:r>
      <w:r w:rsidRPr="004C5230">
        <w:rPr>
          <w:rFonts w:ascii="Times New Roman" w:hAnsi="Times New Roman" w:cs="Times New Roman"/>
          <w:position w:val="0"/>
          <w:sz w:val="24"/>
          <w:szCs w:val="24"/>
          <w:lang w:val="uk-UA"/>
        </w:rPr>
        <w:t>.</w:t>
      </w:r>
    </w:p>
    <w:p w14:paraId="00BE5928"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Однак, як бачимо, санкції можуть застосовуватись не лише з метою захисту національних інтересів. Окрім того, навіть можливість посягання на національні інтереси України, які визначені в Законі України «Про національну безпеку України» автоматично не свідчить про те, що відбувається посягання на основи національної безпеки в розумінні об'єкта охорони КК. </w:t>
      </w:r>
    </w:p>
    <w:p w14:paraId="216F16F8"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Як слушно зазначають науковці, національна безпека охоплює різноманітні сфери регулювання і практично всі напрямки державного управління, але при цьому тільки такий </w:t>
      </w:r>
      <w:r w:rsidRPr="004C5230">
        <w:rPr>
          <w:rFonts w:ascii="Times New Roman" w:hAnsi="Times New Roman" w:cs="Times New Roman"/>
          <w:position w:val="0"/>
          <w:sz w:val="24"/>
          <w:szCs w:val="24"/>
          <w:lang w:val="uk-UA"/>
        </w:rPr>
        <w:lastRenderedPageBreak/>
        <w:t xml:space="preserve">їх рівень, що захищає не будь-які, а </w:t>
      </w:r>
      <w:proofErr w:type="spellStart"/>
      <w:r w:rsidRPr="004C5230">
        <w:rPr>
          <w:rFonts w:ascii="Times New Roman" w:hAnsi="Times New Roman" w:cs="Times New Roman"/>
          <w:position w:val="0"/>
          <w:sz w:val="24"/>
          <w:szCs w:val="24"/>
          <w:lang w:val="uk-UA"/>
        </w:rPr>
        <w:t>життєво</w:t>
      </w:r>
      <w:proofErr w:type="spellEnd"/>
      <w:r w:rsidRPr="004C5230">
        <w:rPr>
          <w:rFonts w:ascii="Times New Roman" w:hAnsi="Times New Roman" w:cs="Times New Roman"/>
          <w:position w:val="0"/>
          <w:sz w:val="24"/>
          <w:szCs w:val="24"/>
          <w:lang w:val="uk-UA"/>
        </w:rPr>
        <w:t xml:space="preserve"> важливі (найважливіші) інтереси. Таким же самим чином, але вже стосовно норм КК, поняття «основ» у назві розділу І Особливої частини КК має обмежувальне значення і вказує на те, </w:t>
      </w:r>
      <w:r w:rsidRPr="004C5230">
        <w:rPr>
          <w:rFonts w:ascii="Times New Roman" w:hAnsi="Times New Roman" w:cs="Times New Roman"/>
          <w:i/>
          <w:position w:val="0"/>
          <w:sz w:val="24"/>
          <w:szCs w:val="24"/>
          <w:lang w:val="uk-UA"/>
        </w:rPr>
        <w:t>що нормами цього розділу КК охороняються найбільш важливі відносини</w:t>
      </w:r>
      <w:r w:rsidRPr="004C5230">
        <w:rPr>
          <w:rFonts w:ascii="Times New Roman" w:hAnsi="Times New Roman" w:cs="Times New Roman"/>
          <w:b/>
          <w:i/>
          <w:position w:val="0"/>
          <w:sz w:val="24"/>
          <w:szCs w:val="24"/>
          <w:lang w:val="uk-UA"/>
        </w:rPr>
        <w:t xml:space="preserve"> («основи основ»)</w:t>
      </w:r>
      <w:r w:rsidRPr="004C5230">
        <w:rPr>
          <w:rFonts w:ascii="Times New Roman" w:hAnsi="Times New Roman" w:cs="Times New Roman"/>
          <w:position w:val="0"/>
          <w:sz w:val="24"/>
          <w:szCs w:val="24"/>
          <w:lang w:val="uk-UA"/>
        </w:rPr>
        <w:t>.</w:t>
      </w:r>
      <w:r w:rsidRPr="004C5230">
        <w:rPr>
          <w:rFonts w:ascii="Times New Roman" w:hAnsi="Times New Roman" w:cs="Times New Roman"/>
          <w:position w:val="0"/>
          <w:sz w:val="24"/>
          <w:szCs w:val="24"/>
          <w:vertAlign w:val="superscript"/>
          <w:lang w:val="uk-UA"/>
        </w:rPr>
        <w:footnoteReference w:id="3"/>
      </w:r>
      <w:r w:rsidRPr="004C5230">
        <w:rPr>
          <w:rFonts w:ascii="Times New Roman" w:hAnsi="Times New Roman" w:cs="Times New Roman"/>
          <w:position w:val="0"/>
          <w:sz w:val="24"/>
          <w:szCs w:val="24"/>
          <w:lang w:val="uk-UA"/>
        </w:rPr>
        <w:t xml:space="preserve"> </w:t>
      </w:r>
    </w:p>
    <w:p w14:paraId="3DD0EDDB"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Законом наразі визначений 31 конкретний вид санкцій і їх перелік не є </w:t>
      </w:r>
      <w:proofErr w:type="spellStart"/>
      <w:r w:rsidRPr="004C5230">
        <w:rPr>
          <w:rFonts w:ascii="Times New Roman" w:hAnsi="Times New Roman" w:cs="Times New Roman"/>
          <w:position w:val="0"/>
          <w:sz w:val="24"/>
          <w:szCs w:val="24"/>
          <w:lang w:val="uk-UA"/>
        </w:rPr>
        <w:t>вичепний</w:t>
      </w:r>
      <w:proofErr w:type="spellEnd"/>
      <w:r w:rsidRPr="004C5230">
        <w:rPr>
          <w:rFonts w:ascii="Times New Roman" w:hAnsi="Times New Roman" w:cs="Times New Roman"/>
          <w:position w:val="0"/>
          <w:sz w:val="24"/>
          <w:szCs w:val="24"/>
          <w:lang w:val="uk-UA"/>
        </w:rPr>
        <w:t xml:space="preserve">. Більшість з них, хоч і можуть нести загрозу національній безпеці, однак не здатні посягати на основи національної безпеки. Це стосується, наприклад, таких видів санкцій, як </w:t>
      </w:r>
      <w:r w:rsidRPr="004C5230">
        <w:rPr>
          <w:rFonts w:ascii="Times New Roman" w:hAnsi="Times New Roman" w:cs="Times New Roman"/>
          <w:position w:val="0"/>
          <w:sz w:val="24"/>
          <w:szCs w:val="24"/>
          <w:highlight w:val="white"/>
          <w:lang w:val="uk-UA"/>
        </w:rPr>
        <w:t>анулювання офіційних візитів, засідань, переговорів з питань укладення договорів чи угод;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тощо.</w:t>
      </w:r>
      <w:r w:rsidRPr="004C5230">
        <w:rPr>
          <w:rFonts w:ascii="Times New Roman" w:hAnsi="Times New Roman" w:cs="Times New Roman"/>
          <w:position w:val="0"/>
          <w:sz w:val="24"/>
          <w:szCs w:val="24"/>
          <w:lang w:val="uk-UA"/>
        </w:rPr>
        <w:t xml:space="preserve"> Очевидно, що невиконання чи ухилення від вказаних санкцій об'єктивно не здатне заподіяти шкоду основам національної безпеки України.</w:t>
      </w:r>
    </w:p>
    <w:p w14:paraId="1341ADA9"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Виходячи з цього, потрібно переглянути місце запропонованої норми в системі Особливої частини КК. Видається, що така стаття могла б бути розміщена, наприклад, у Розділі ХV Особливої частини КК «Злочини проти авторитету органів державної влади, органів місцевого самоврядування та об’єднань громадян», оскільки, фактично йдеться про перешкоджання управлінській діяльності органів державної влади, відповідальних за реалізацію </w:t>
      </w:r>
      <w:proofErr w:type="spellStart"/>
      <w:r w:rsidRPr="004C5230">
        <w:rPr>
          <w:rFonts w:ascii="Times New Roman" w:hAnsi="Times New Roman" w:cs="Times New Roman"/>
          <w:position w:val="0"/>
          <w:sz w:val="24"/>
          <w:szCs w:val="24"/>
          <w:lang w:val="uk-UA"/>
        </w:rPr>
        <w:t>санкційної</w:t>
      </w:r>
      <w:proofErr w:type="spellEnd"/>
      <w:r w:rsidRPr="004C5230">
        <w:rPr>
          <w:rFonts w:ascii="Times New Roman" w:hAnsi="Times New Roman" w:cs="Times New Roman"/>
          <w:position w:val="0"/>
          <w:sz w:val="24"/>
          <w:szCs w:val="24"/>
          <w:lang w:val="uk-UA"/>
        </w:rPr>
        <w:t xml:space="preserve"> політики.</w:t>
      </w:r>
    </w:p>
    <w:p w14:paraId="59AFE5F0"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p>
    <w:p w14:paraId="4C151535"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i/>
          <w:position w:val="0"/>
          <w:sz w:val="24"/>
          <w:szCs w:val="24"/>
          <w:lang w:val="uk-UA"/>
        </w:rPr>
      </w:pPr>
      <w:r w:rsidRPr="004C5230">
        <w:rPr>
          <w:rFonts w:ascii="Times New Roman" w:hAnsi="Times New Roman" w:cs="Times New Roman"/>
          <w:b/>
          <w:i/>
          <w:position w:val="0"/>
          <w:sz w:val="24"/>
          <w:szCs w:val="24"/>
          <w:lang w:val="uk-UA"/>
        </w:rPr>
        <w:t>2. Недоліки профільного законодавства щодо реалізації санкцій та занадто широка диспозиція.</w:t>
      </w:r>
    </w:p>
    <w:p w14:paraId="5FDB771B"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Диспозиція пропонованої статті має досить широкий характер, адже об’єктивна сторона правопорушення полягає у вчиненні суспільно-небезпечних діянь у вигляді 1) невиконання; 2) перешкоджанні виконанню; 3) ухилення від виконання спеціальних економічних та/або інших обмежувальних заходів (санкцій). </w:t>
      </w:r>
    </w:p>
    <w:p w14:paraId="01753362"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Оскільки відсутня будь-яка конкретизація таких діянь, це можуть бути різноманітні вчинки, або ж види бездіяльності. Натомість, регуляторне законодавство щодо застосування санкцій містить прогалини, колізії та інші недоліки, які об'єктивно не дозволяють ефективно реалізовувати обмежувальні заходи на практиці. За таких умов, практика реалізації вказаної кримінальної заборони буде ускладнена, а також створюються можливості для несправедливого притягнення до кримінальної відповідальності.</w:t>
      </w:r>
    </w:p>
    <w:p w14:paraId="0840F1A6"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Таким чином, у випадку встановлення лише загальних ознак об’єктивної сторони кримінального правопорушення, потрібно аби регуляторне законодавство було чітким, недвозначним та дієвим.</w:t>
      </w:r>
    </w:p>
    <w:p w14:paraId="3E8325E1"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4850ED09"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i/>
          <w:position w:val="0"/>
          <w:sz w:val="24"/>
          <w:szCs w:val="24"/>
          <w:lang w:val="uk-UA"/>
        </w:rPr>
      </w:pPr>
      <w:r w:rsidRPr="004C5230">
        <w:rPr>
          <w:rFonts w:ascii="Times New Roman" w:hAnsi="Times New Roman" w:cs="Times New Roman"/>
          <w:b/>
          <w:i/>
          <w:position w:val="0"/>
          <w:sz w:val="24"/>
          <w:szCs w:val="24"/>
          <w:lang w:val="uk-UA"/>
        </w:rPr>
        <w:t xml:space="preserve">3. Недоліки запропонованих санкцій. </w:t>
      </w:r>
    </w:p>
    <w:p w14:paraId="63A24E94"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position w:val="0"/>
          <w:sz w:val="24"/>
          <w:szCs w:val="24"/>
          <w:lang w:val="uk-UA"/>
        </w:rPr>
        <w:t xml:space="preserve">Автори </w:t>
      </w:r>
      <w:proofErr w:type="spellStart"/>
      <w:r w:rsidRPr="004C5230">
        <w:rPr>
          <w:rFonts w:ascii="Times New Roman" w:hAnsi="Times New Roman" w:cs="Times New Roman"/>
          <w:position w:val="0"/>
          <w:sz w:val="24"/>
          <w:szCs w:val="24"/>
          <w:lang w:val="uk-UA"/>
        </w:rPr>
        <w:t>законопроєкту</w:t>
      </w:r>
      <w:proofErr w:type="spellEnd"/>
      <w:r w:rsidRPr="004C5230">
        <w:rPr>
          <w:rFonts w:ascii="Times New Roman" w:hAnsi="Times New Roman" w:cs="Times New Roman"/>
          <w:position w:val="0"/>
          <w:sz w:val="24"/>
          <w:szCs w:val="24"/>
          <w:lang w:val="uk-UA"/>
        </w:rPr>
        <w:t xml:space="preserve"> пропонують застосовувати досить суворе покарання за вказане правопорушення, яке може не відповідати ступеню суспільної небезпечності діяння та вносити диспропорцію в існуючу систему покарань за кримінальні правопорушення. Так, простий склад, відображений у частині 1 пропонованої статті містить санкцію у вигляді позбавлення волі на строк від п’яти до семи років, а у найбільш кваліфікований, за частиною 5 - на строк від дев’яти до дванадцяти років. Це ж стосується і штрафів (за частиною 5 - до 60 000 неоподатковуваних мінімумів доходів громадян). Зважаючи на кардинальну відмінність між різними видами обмежувальних заходів, а також тяжкість злочинів з подібними санкціями, запропоновані покарання видаються надмірними, особливо зважаючи, що така норма буде діяти не лише під час дії воєнного стану, а й після його припинення чи закінчення. </w:t>
      </w:r>
    </w:p>
    <w:p w14:paraId="6B0265F7" w14:textId="5DB4161F"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en-US"/>
        </w:rPr>
      </w:pPr>
      <w:r w:rsidRPr="004C5230">
        <w:rPr>
          <w:rFonts w:ascii="Times New Roman" w:hAnsi="Times New Roman" w:cs="Times New Roman"/>
          <w:position w:val="0"/>
          <w:sz w:val="24"/>
          <w:szCs w:val="24"/>
          <w:lang w:val="uk-UA"/>
        </w:rPr>
        <w:t>Отже, вбачається необхідним переглянути запропоновані покарання.</w:t>
      </w:r>
    </w:p>
    <w:p w14:paraId="560EAA71"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0BAD98AE"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lastRenderedPageBreak/>
        <w:t xml:space="preserve">Позиції державних </w:t>
      </w:r>
      <w:proofErr w:type="spellStart"/>
      <w:r w:rsidRPr="004C5230">
        <w:rPr>
          <w:rFonts w:ascii="Times New Roman" w:hAnsi="Times New Roman" w:cs="Times New Roman"/>
          <w:b/>
          <w:position w:val="0"/>
          <w:sz w:val="24"/>
          <w:szCs w:val="24"/>
          <w:lang w:val="uk-UA"/>
        </w:rPr>
        <w:t>стейкхолдерів</w:t>
      </w:r>
      <w:proofErr w:type="spellEnd"/>
      <w:r w:rsidRPr="004C5230">
        <w:rPr>
          <w:rFonts w:ascii="Times New Roman" w:hAnsi="Times New Roman" w:cs="Times New Roman"/>
          <w:b/>
          <w:position w:val="0"/>
          <w:sz w:val="24"/>
          <w:szCs w:val="24"/>
          <w:vertAlign w:val="superscript"/>
          <w:lang w:val="uk-UA"/>
        </w:rPr>
        <w:footnoteReference w:id="4"/>
      </w:r>
    </w:p>
    <w:p w14:paraId="1DC706B5"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b/>
          <w:position w:val="0"/>
          <w:sz w:val="24"/>
          <w:szCs w:val="24"/>
          <w:lang w:val="uk-UA"/>
        </w:rPr>
        <w:t>Міністерство фінансів України</w:t>
      </w:r>
      <w:r w:rsidRPr="004C5230">
        <w:rPr>
          <w:rFonts w:ascii="Times New Roman" w:hAnsi="Times New Roman" w:cs="Times New Roman"/>
          <w:position w:val="0"/>
          <w:sz w:val="24"/>
          <w:szCs w:val="24"/>
          <w:lang w:val="uk-UA"/>
        </w:rPr>
        <w:t xml:space="preserve"> зазначає, що </w:t>
      </w:r>
      <w:proofErr w:type="spellStart"/>
      <w:r w:rsidRPr="004C5230">
        <w:rPr>
          <w:rFonts w:ascii="Times New Roman" w:hAnsi="Times New Roman" w:cs="Times New Roman"/>
          <w:position w:val="0"/>
          <w:sz w:val="24"/>
          <w:szCs w:val="24"/>
          <w:lang w:val="uk-UA"/>
        </w:rPr>
        <w:t>законопроєкт</w:t>
      </w:r>
      <w:proofErr w:type="spellEnd"/>
      <w:r w:rsidRPr="004C5230">
        <w:rPr>
          <w:rFonts w:ascii="Times New Roman" w:hAnsi="Times New Roman" w:cs="Times New Roman"/>
          <w:position w:val="0"/>
          <w:sz w:val="24"/>
          <w:szCs w:val="24"/>
          <w:lang w:val="uk-UA"/>
        </w:rPr>
        <w:t xml:space="preserve"> потребує доопрацювання.</w:t>
      </w:r>
    </w:p>
    <w:p w14:paraId="775909C5"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p>
    <w:p w14:paraId="2DD8B75D"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p>
    <w:p w14:paraId="6DFF3ABB"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b/>
          <w:position w:val="0"/>
          <w:sz w:val="24"/>
          <w:szCs w:val="24"/>
          <w:lang w:val="uk-UA"/>
        </w:rPr>
      </w:pPr>
      <w:r w:rsidRPr="004C5230">
        <w:rPr>
          <w:rFonts w:ascii="Times New Roman" w:hAnsi="Times New Roman" w:cs="Times New Roman"/>
          <w:b/>
          <w:position w:val="0"/>
          <w:sz w:val="24"/>
          <w:szCs w:val="24"/>
          <w:lang w:val="uk-UA"/>
        </w:rPr>
        <w:t>Висновок</w:t>
      </w:r>
    </w:p>
    <w:p w14:paraId="737D10DD" w14:textId="77777777" w:rsidR="004C5230" w:rsidRPr="004C5230" w:rsidRDefault="004C5230" w:rsidP="004C5230">
      <w:pPr>
        <w:suppressAutoHyphens w:val="0"/>
        <w:spacing w:line="240" w:lineRule="auto"/>
        <w:ind w:leftChars="0" w:left="0" w:firstLineChars="0" w:firstLine="709"/>
        <w:jc w:val="both"/>
        <w:textDirection w:val="lrTb"/>
        <w:textAlignment w:val="auto"/>
        <w:outlineLvl w:val="9"/>
        <w:rPr>
          <w:rFonts w:ascii="Times New Roman" w:hAnsi="Times New Roman" w:cs="Times New Roman"/>
          <w:position w:val="0"/>
          <w:sz w:val="24"/>
          <w:szCs w:val="24"/>
          <w:lang w:val="uk-UA"/>
        </w:rPr>
      </w:pPr>
      <w:r w:rsidRPr="004C5230">
        <w:rPr>
          <w:rFonts w:ascii="Times New Roman" w:hAnsi="Times New Roman" w:cs="Times New Roman"/>
          <w:b/>
          <w:position w:val="0"/>
          <w:sz w:val="24"/>
          <w:szCs w:val="24"/>
          <w:lang w:val="uk-UA"/>
        </w:rPr>
        <w:t>Інститут законодавчих ідей</w:t>
      </w:r>
      <w:r w:rsidRPr="004C5230">
        <w:rPr>
          <w:rFonts w:ascii="Times New Roman" w:hAnsi="Times New Roman" w:cs="Times New Roman"/>
          <w:position w:val="0"/>
          <w:sz w:val="24"/>
          <w:szCs w:val="24"/>
          <w:lang w:val="uk-UA"/>
        </w:rPr>
        <w:t xml:space="preserve"> підтримує </w:t>
      </w:r>
      <w:proofErr w:type="spellStart"/>
      <w:r w:rsidRPr="004C5230">
        <w:rPr>
          <w:rFonts w:ascii="Times New Roman" w:hAnsi="Times New Roman" w:cs="Times New Roman"/>
          <w:position w:val="0"/>
          <w:sz w:val="24"/>
          <w:szCs w:val="24"/>
          <w:lang w:val="uk-UA"/>
        </w:rPr>
        <w:t>законопроєкт</w:t>
      </w:r>
      <w:proofErr w:type="spellEnd"/>
      <w:r w:rsidRPr="004C5230">
        <w:rPr>
          <w:rFonts w:ascii="Times New Roman" w:hAnsi="Times New Roman" w:cs="Times New Roman"/>
          <w:position w:val="0"/>
          <w:sz w:val="24"/>
          <w:szCs w:val="24"/>
          <w:lang w:val="uk-UA"/>
        </w:rPr>
        <w:t xml:space="preserve"> та наголошує на необхідності криміналізації поведінки, яка порушує </w:t>
      </w:r>
      <w:proofErr w:type="spellStart"/>
      <w:r w:rsidRPr="004C5230">
        <w:rPr>
          <w:rFonts w:ascii="Times New Roman" w:hAnsi="Times New Roman" w:cs="Times New Roman"/>
          <w:position w:val="0"/>
          <w:sz w:val="24"/>
          <w:szCs w:val="24"/>
          <w:lang w:val="uk-UA"/>
        </w:rPr>
        <w:t>санкційні</w:t>
      </w:r>
      <w:proofErr w:type="spellEnd"/>
      <w:r w:rsidRPr="004C5230">
        <w:rPr>
          <w:rFonts w:ascii="Times New Roman" w:hAnsi="Times New Roman" w:cs="Times New Roman"/>
          <w:position w:val="0"/>
          <w:sz w:val="24"/>
          <w:szCs w:val="24"/>
          <w:lang w:val="uk-UA"/>
        </w:rPr>
        <w:t xml:space="preserve"> заборони та обмеження за умови врахування всіх наданих зауважень.</w:t>
      </w:r>
    </w:p>
    <w:p w14:paraId="19C8FE51" w14:textId="532971F7" w:rsidR="003243F7" w:rsidRPr="004C5230" w:rsidRDefault="003243F7" w:rsidP="00186B92">
      <w:pPr>
        <w:suppressAutoHyphens w:val="0"/>
        <w:spacing w:line="240" w:lineRule="auto"/>
        <w:ind w:leftChars="0" w:left="0" w:firstLineChars="0" w:firstLine="720"/>
        <w:jc w:val="both"/>
        <w:textDirection w:val="lrTb"/>
        <w:textAlignment w:val="auto"/>
        <w:outlineLvl w:val="9"/>
        <w:rPr>
          <w:rFonts w:ascii="Times New Roman" w:hAnsi="Times New Roman" w:cs="Times New Roman"/>
          <w:b/>
          <w:i/>
          <w:sz w:val="24"/>
          <w:szCs w:val="24"/>
          <w:highlight w:val="red"/>
          <w:lang w:val="en-US"/>
        </w:rPr>
      </w:pPr>
    </w:p>
    <w:sectPr w:rsidR="003243F7" w:rsidRPr="004C5230">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B9CE7" w14:textId="77777777" w:rsidR="006A1321" w:rsidRDefault="006A1321">
      <w:pPr>
        <w:spacing w:line="240" w:lineRule="auto"/>
        <w:ind w:left="0" w:hanging="2"/>
      </w:pPr>
      <w:r>
        <w:separator/>
      </w:r>
    </w:p>
  </w:endnote>
  <w:endnote w:type="continuationSeparator" w:id="0">
    <w:p w14:paraId="6CFF8454" w14:textId="77777777" w:rsidR="006A1321" w:rsidRDefault="006A132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E66A5" w14:textId="77777777" w:rsidR="0037099E" w:rsidRDefault="0037099E">
    <w:pPr>
      <w:pStyle w:val="af0"/>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2D97E" w14:textId="77777777" w:rsidR="0037099E" w:rsidRDefault="0037099E">
    <w:pPr>
      <w:pStyle w:val="af0"/>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62A34" w14:textId="77777777" w:rsidR="0037099E" w:rsidRDefault="0037099E">
    <w:pPr>
      <w:pStyle w:val="af0"/>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A2908" w14:textId="77777777" w:rsidR="006A1321" w:rsidRDefault="006A1321">
      <w:pPr>
        <w:spacing w:line="240" w:lineRule="auto"/>
        <w:ind w:left="0" w:hanging="2"/>
      </w:pPr>
      <w:r>
        <w:separator/>
      </w:r>
    </w:p>
  </w:footnote>
  <w:footnote w:type="continuationSeparator" w:id="0">
    <w:p w14:paraId="059D721C" w14:textId="77777777" w:rsidR="006A1321" w:rsidRDefault="006A1321">
      <w:pPr>
        <w:spacing w:line="240" w:lineRule="auto"/>
        <w:ind w:left="0" w:hanging="2"/>
      </w:pPr>
      <w:r>
        <w:continuationSeparator/>
      </w:r>
    </w:p>
  </w:footnote>
  <w:footnote w:id="1">
    <w:p w14:paraId="5A6C6A5B" w14:textId="77777777" w:rsidR="003243F7" w:rsidRDefault="00B51F8D">
      <w:pPr>
        <w:spacing w:line="240" w:lineRule="auto"/>
        <w:ind w:left="0" w:hanging="2"/>
        <w:jc w:val="both"/>
      </w:pPr>
      <w:r>
        <w:rPr>
          <w:vertAlign w:val="superscript"/>
        </w:rPr>
        <w:footnoteRef/>
      </w:r>
      <w:r>
        <w:rPr>
          <w:rFonts w:ascii="Times New Roman" w:hAnsi="Times New Roman" w:cs="Times New Roman"/>
          <w:sz w:val="20"/>
        </w:rPr>
        <w:t xml:space="preserve"> </w:t>
      </w:r>
      <w:r>
        <w:rPr>
          <w:rFonts w:ascii="Times New Roman" w:hAnsi="Times New Roman" w:cs="Times New Roman"/>
          <w:b/>
          <w:sz w:val="20"/>
        </w:rPr>
        <w:t xml:space="preserve">Цей висновок підготовлений відповідно до Методології проведення антикорупційної експертизи </w:t>
      </w:r>
      <w:proofErr w:type="spellStart"/>
      <w:r>
        <w:rPr>
          <w:rFonts w:ascii="Times New Roman" w:hAnsi="Times New Roman" w:cs="Times New Roman"/>
          <w:b/>
          <w:sz w:val="20"/>
        </w:rPr>
        <w:t>законопроєктів</w:t>
      </w:r>
      <w:proofErr w:type="spellEnd"/>
      <w:r>
        <w:rPr>
          <w:rFonts w:ascii="Times New Roman" w:hAnsi="Times New Roman" w:cs="Times New Roman"/>
          <w:b/>
          <w:sz w:val="20"/>
        </w:rPr>
        <w:t xml:space="preserve"> аналітичним центром “Інститут законодавчих ідей”</w:t>
      </w:r>
    </w:p>
  </w:footnote>
  <w:footnote w:id="2">
    <w:p w14:paraId="1FFCF515" w14:textId="77777777" w:rsidR="004C5230" w:rsidRDefault="004C5230" w:rsidP="004C5230">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 xml:space="preserve"> </w:t>
      </w:r>
      <w:r>
        <w:rPr>
          <w:rFonts w:ascii="Times New Roman" w:hAnsi="Times New Roman" w:cs="Times New Roman"/>
          <w:sz w:val="20"/>
        </w:rPr>
        <w:t>Закон України «Про санкції»</w:t>
      </w:r>
    </w:p>
  </w:footnote>
  <w:footnote w:id="3">
    <w:p w14:paraId="4652F7C7" w14:textId="77777777" w:rsidR="004C5230" w:rsidRDefault="004C5230" w:rsidP="004C5230">
      <w:pPr>
        <w:spacing w:line="240" w:lineRule="auto"/>
        <w:ind w:left="0" w:hanging="2"/>
        <w:jc w:val="both"/>
        <w:rPr>
          <w:rFonts w:ascii="Times New Roman" w:hAnsi="Times New Roman" w:cs="Times New Roman"/>
          <w:sz w:val="20"/>
        </w:rPr>
      </w:pPr>
      <w:r>
        <w:rPr>
          <w:vertAlign w:val="superscript"/>
        </w:rPr>
        <w:footnoteRef/>
      </w:r>
      <w:r>
        <w:rPr>
          <w:rFonts w:ascii="Times New Roman" w:hAnsi="Times New Roman" w:cs="Times New Roman"/>
          <w:sz w:val="20"/>
        </w:rPr>
        <w:t xml:space="preserve">  </w:t>
      </w:r>
      <w:proofErr w:type="spellStart"/>
      <w:r>
        <w:rPr>
          <w:rFonts w:ascii="Times New Roman" w:hAnsi="Times New Roman" w:cs="Times New Roman"/>
          <w:sz w:val="20"/>
        </w:rPr>
        <w:t>Рубащенко</w:t>
      </w:r>
      <w:proofErr w:type="spellEnd"/>
      <w:r>
        <w:rPr>
          <w:rFonts w:ascii="Times New Roman" w:hAnsi="Times New Roman" w:cs="Times New Roman"/>
          <w:sz w:val="20"/>
        </w:rPr>
        <w:t xml:space="preserve"> М. А. Кримінальна відповідальність за посягання на територіальну цілісність і недоторканність України : монографія. Харків: Право, 2016. С. 21.</w:t>
      </w:r>
    </w:p>
  </w:footnote>
  <w:footnote w:id="4">
    <w:p w14:paraId="77F85C44" w14:textId="77777777" w:rsidR="004C5230" w:rsidRPr="004C5230" w:rsidRDefault="004C5230" w:rsidP="004C5230">
      <w:pPr>
        <w:spacing w:line="240" w:lineRule="auto"/>
        <w:ind w:left="0" w:hanging="2"/>
        <w:rPr>
          <w:rFonts w:ascii="Times New Roman" w:hAnsi="Times New Roman" w:cs="Times New Roman"/>
          <w:sz w:val="20"/>
        </w:rPr>
      </w:pPr>
      <w:r w:rsidRPr="004C5230">
        <w:rPr>
          <w:rFonts w:ascii="Times New Roman" w:hAnsi="Times New Roman" w:cs="Times New Roman"/>
          <w:sz w:val="20"/>
          <w:vertAlign w:val="superscript"/>
        </w:rPr>
        <w:footnoteRef/>
      </w:r>
      <w:r w:rsidRPr="004C5230">
        <w:rPr>
          <w:rFonts w:ascii="Times New Roman" w:hAnsi="Times New Roman" w:cs="Times New Roman"/>
          <w:sz w:val="20"/>
        </w:rPr>
        <w:t xml:space="preserve"> </w:t>
      </w:r>
      <w:r w:rsidRPr="004C5230">
        <w:rPr>
          <w:rFonts w:ascii="Times New Roman" w:hAnsi="Times New Roman" w:cs="Times New Roman"/>
          <w:sz w:val="20"/>
        </w:rPr>
        <w:t>https://www.kmu.gov.ua/bills/proekt-zakonu-pro-vnesennya-zmin-do-kriminalnogo-ta-kriminalnogo-protsesualnogo-kodeksiv-ukraini-ta-inshikh-zakoniv-shchodo-vstanovlennya-kriminalnoi-vidpovidalnosti-za-porushennya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C0BA1" w14:textId="77777777" w:rsidR="0037099E" w:rsidRDefault="0037099E">
    <w:pPr>
      <w:pStyle w:val="a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E5120" w14:textId="77777777" w:rsidR="0037099E" w:rsidRDefault="0037099E">
    <w:pPr>
      <w:pStyle w:val="a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4464A" w14:textId="77777777" w:rsidR="003243F7" w:rsidRDefault="003243F7">
    <w:pPr>
      <w:widowControl w:val="0"/>
      <w:ind w:left="0" w:hanging="2"/>
      <w:rPr>
        <w:sz w:val="20"/>
      </w:rPr>
    </w:pPr>
  </w:p>
  <w:tbl>
    <w:tblPr>
      <w:tblStyle w:val="afffffffffff3"/>
      <w:tblW w:w="971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977"/>
      <w:gridCol w:w="3623"/>
      <w:gridCol w:w="3119"/>
    </w:tblGrid>
    <w:tr w:rsidR="003243F7" w14:paraId="40E1ABF7" w14:textId="77777777">
      <w:trPr>
        <w:trHeight w:val="2196"/>
        <w:jc w:val="center"/>
      </w:trPr>
      <w:tc>
        <w:tcPr>
          <w:tcW w:w="2977" w:type="dxa"/>
          <w:tcBorders>
            <w:top w:val="nil"/>
            <w:left w:val="nil"/>
            <w:bottom w:val="single" w:sz="4" w:space="0" w:color="000000"/>
            <w:right w:val="nil"/>
          </w:tcBorders>
          <w:tcMar>
            <w:top w:w="80" w:type="dxa"/>
            <w:left w:w="80" w:type="dxa"/>
            <w:bottom w:w="80" w:type="dxa"/>
            <w:right w:w="80" w:type="dxa"/>
          </w:tcMar>
        </w:tcPr>
        <w:p w14:paraId="5E095B20" w14:textId="77777777" w:rsidR="003243F7" w:rsidRDefault="00B51F8D">
          <w:pPr>
            <w:spacing w:before="120"/>
            <w:ind w:left="0" w:hanging="2"/>
            <w:rPr>
              <w:rFonts w:ascii="Cambria" w:eastAsia="Cambria" w:hAnsi="Cambria" w:cs="Cambria"/>
              <w:color w:val="333399"/>
            </w:rPr>
          </w:pPr>
          <w:r>
            <w:rPr>
              <w:rFonts w:ascii="Cambria" w:eastAsia="Cambria" w:hAnsi="Cambria" w:cs="Cambria"/>
              <w:b/>
              <w:color w:val="333399"/>
            </w:rPr>
            <w:t xml:space="preserve">               </w:t>
          </w:r>
        </w:p>
        <w:p w14:paraId="27F9B717" w14:textId="77777777" w:rsidR="003243F7" w:rsidRDefault="00B51F8D">
          <w:pPr>
            <w:spacing w:before="120"/>
            <w:ind w:left="0" w:hanging="2"/>
            <w:jc w:val="center"/>
            <w:rPr>
              <w:rFonts w:ascii="Times New Roman" w:hAnsi="Times New Roman" w:cs="Times New Roman"/>
              <w:color w:val="020000"/>
              <w:sz w:val="24"/>
              <w:szCs w:val="24"/>
            </w:rPr>
          </w:pPr>
          <w:r>
            <w:rPr>
              <w:rFonts w:ascii="Times New Roman" w:hAnsi="Times New Roman" w:cs="Times New Roman"/>
              <w:b/>
              <w:color w:val="020000"/>
              <w:sz w:val="24"/>
              <w:szCs w:val="24"/>
            </w:rPr>
            <w:t>Аналітичний центр «Інститут законодавчих ідей»</w:t>
          </w:r>
        </w:p>
        <w:p w14:paraId="31F1A661" w14:textId="77777777" w:rsidR="003243F7" w:rsidRDefault="00B51F8D">
          <w:pPr>
            <w:ind w:left="0" w:hanging="2"/>
            <w:jc w:val="center"/>
            <w:rPr>
              <w:rFonts w:ascii="Times New Roman" w:hAnsi="Times New Roman" w:cs="Times New Roman"/>
              <w:sz w:val="24"/>
              <w:szCs w:val="24"/>
            </w:rPr>
          </w:pPr>
          <w:proofErr w:type="spellStart"/>
          <w:r>
            <w:rPr>
              <w:rFonts w:ascii="Times New Roman" w:hAnsi="Times New Roman" w:cs="Times New Roman"/>
              <w:sz w:val="24"/>
              <w:szCs w:val="24"/>
            </w:rPr>
            <w:t>office@izi.institute</w:t>
          </w:r>
          <w:proofErr w:type="spellEnd"/>
        </w:p>
        <w:p w14:paraId="1E88937C" w14:textId="77777777" w:rsidR="003243F7" w:rsidRDefault="00B51F8D">
          <w:pPr>
            <w:ind w:left="0" w:hanging="2"/>
            <w:jc w:val="center"/>
            <w:rPr>
              <w:rFonts w:ascii="Times New Roman" w:hAnsi="Times New Roman" w:cs="Times New Roman"/>
              <w:sz w:val="24"/>
              <w:szCs w:val="24"/>
            </w:rPr>
          </w:pPr>
          <w:proofErr w:type="spellStart"/>
          <w:r>
            <w:rPr>
              <w:rFonts w:ascii="Times New Roman" w:hAnsi="Times New Roman" w:cs="Times New Roman"/>
              <w:sz w:val="24"/>
              <w:szCs w:val="24"/>
            </w:rPr>
            <w:t>izi.institute</w:t>
          </w:r>
          <w:proofErr w:type="spellEnd"/>
        </w:p>
        <w:p w14:paraId="788EB105" w14:textId="77777777" w:rsidR="003243F7" w:rsidRDefault="00B51F8D">
          <w:pPr>
            <w:ind w:left="0" w:hanging="2"/>
            <w:jc w:val="center"/>
          </w:pPr>
          <w:r>
            <w:rPr>
              <w:rFonts w:ascii="Times New Roman" w:hAnsi="Times New Roman" w:cs="Times New Roman"/>
              <w:sz w:val="24"/>
              <w:szCs w:val="24"/>
            </w:rPr>
            <w:t>+38 (063) 763-85-09</w:t>
          </w:r>
        </w:p>
      </w:tc>
      <w:tc>
        <w:tcPr>
          <w:tcW w:w="3623" w:type="dxa"/>
          <w:tcBorders>
            <w:top w:val="nil"/>
            <w:left w:val="nil"/>
            <w:bottom w:val="single" w:sz="4" w:space="0" w:color="000000"/>
            <w:right w:val="nil"/>
          </w:tcBorders>
          <w:tcMar>
            <w:top w:w="80" w:type="dxa"/>
            <w:left w:w="80" w:type="dxa"/>
            <w:bottom w:w="80" w:type="dxa"/>
            <w:right w:w="80" w:type="dxa"/>
          </w:tcMar>
        </w:tcPr>
        <w:p w14:paraId="1529F6C5" w14:textId="73B7F9F2" w:rsidR="003243F7" w:rsidRDefault="0037099E">
          <w:pPr>
            <w:ind w:left="0" w:hanging="2"/>
            <w:jc w:val="center"/>
          </w:pPr>
          <w:r>
            <w:rPr>
              <w:noProof/>
              <w:bdr w:val="none" w:sz="0" w:space="0" w:color="auto" w:frame="1"/>
            </w:rPr>
            <w:drawing>
              <wp:anchor distT="0" distB="0" distL="114300" distR="114300" simplePos="0" relativeHeight="251658240" behindDoc="1" locked="0" layoutInCell="1" allowOverlap="1" wp14:anchorId="73FCB7B1" wp14:editId="6631633B">
                <wp:simplePos x="0" y="0"/>
                <wp:positionH relativeFrom="column">
                  <wp:posOffset>-50800</wp:posOffset>
                </wp:positionH>
                <wp:positionV relativeFrom="paragraph">
                  <wp:posOffset>289560</wp:posOffset>
                </wp:positionV>
                <wp:extent cx="2324100" cy="1211580"/>
                <wp:effectExtent l="0" t="0" r="0" b="7620"/>
                <wp:wrapThrough wrapText="bothSides">
                  <wp:wrapPolygon edited="0">
                    <wp:start x="0" y="0"/>
                    <wp:lineTo x="0" y="21396"/>
                    <wp:lineTo x="21423" y="21396"/>
                    <wp:lineTo x="21423" y="0"/>
                    <wp:lineTo x="0"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1211580"/>
                        </a:xfrm>
                        <a:prstGeom prst="rect">
                          <a:avLst/>
                        </a:prstGeom>
                        <a:noFill/>
                        <a:ln>
                          <a:noFill/>
                        </a:ln>
                      </pic:spPr>
                    </pic:pic>
                  </a:graphicData>
                </a:graphic>
              </wp:anchor>
            </w:drawing>
          </w:r>
        </w:p>
      </w:tc>
      <w:tc>
        <w:tcPr>
          <w:tcW w:w="3119" w:type="dxa"/>
          <w:tcBorders>
            <w:top w:val="nil"/>
            <w:left w:val="nil"/>
            <w:bottom w:val="single" w:sz="4" w:space="0" w:color="000000"/>
            <w:right w:val="nil"/>
          </w:tcBorders>
          <w:tcMar>
            <w:top w:w="80" w:type="dxa"/>
            <w:left w:w="80" w:type="dxa"/>
            <w:bottom w:w="80" w:type="dxa"/>
            <w:right w:w="80" w:type="dxa"/>
          </w:tcMar>
        </w:tcPr>
        <w:p w14:paraId="05EC910D" w14:textId="77777777" w:rsidR="003243F7" w:rsidRDefault="003243F7">
          <w:pPr>
            <w:spacing w:before="120"/>
            <w:ind w:left="0" w:hanging="2"/>
            <w:rPr>
              <w:rFonts w:ascii="Cambria" w:eastAsia="Cambria" w:hAnsi="Cambria" w:cs="Cambria"/>
              <w:color w:val="FF0000"/>
            </w:rPr>
          </w:pPr>
        </w:p>
        <w:p w14:paraId="5F855D03" w14:textId="77777777" w:rsidR="003243F7" w:rsidRDefault="00B51F8D">
          <w:pPr>
            <w:spacing w:before="120"/>
            <w:ind w:left="0" w:hanging="2"/>
            <w:jc w:val="center"/>
            <w:rPr>
              <w:rFonts w:ascii="Times New Roman" w:hAnsi="Times New Roman" w:cs="Times New Roman"/>
              <w:color w:val="060606"/>
              <w:sz w:val="24"/>
              <w:szCs w:val="24"/>
            </w:rPr>
          </w:pPr>
          <w:proofErr w:type="spellStart"/>
          <w:r>
            <w:rPr>
              <w:rFonts w:ascii="Times New Roman" w:hAnsi="Times New Roman" w:cs="Times New Roman"/>
              <w:b/>
              <w:color w:val="060606"/>
              <w:sz w:val="24"/>
              <w:szCs w:val="24"/>
            </w:rPr>
            <w:t>Think</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tank</w:t>
          </w:r>
          <w:proofErr w:type="spellEnd"/>
        </w:p>
        <w:p w14:paraId="1A4E2C43" w14:textId="77777777" w:rsidR="003243F7" w:rsidRDefault="00B51F8D">
          <w:pPr>
            <w:ind w:left="0" w:hanging="2"/>
            <w:jc w:val="center"/>
            <w:rPr>
              <w:rFonts w:ascii="Times New Roman" w:hAnsi="Times New Roman" w:cs="Times New Roman"/>
              <w:color w:val="060606"/>
              <w:sz w:val="24"/>
              <w:szCs w:val="24"/>
            </w:rPr>
          </w:pPr>
          <w:r>
            <w:rPr>
              <w:rFonts w:ascii="Times New Roman" w:hAnsi="Times New Roman" w:cs="Times New Roman"/>
              <w:b/>
              <w:color w:val="060606"/>
              <w:sz w:val="24"/>
              <w:szCs w:val="24"/>
            </w:rPr>
            <w:t>«</w:t>
          </w:r>
          <w:proofErr w:type="spellStart"/>
          <w:r>
            <w:rPr>
              <w:rFonts w:ascii="Times New Roman" w:hAnsi="Times New Roman" w:cs="Times New Roman"/>
              <w:b/>
              <w:color w:val="060606"/>
              <w:sz w:val="24"/>
              <w:szCs w:val="24"/>
            </w:rPr>
            <w:t>Institute</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of</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legislative</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ideas</w:t>
          </w:r>
          <w:proofErr w:type="spellEnd"/>
          <w:r>
            <w:rPr>
              <w:rFonts w:ascii="Times New Roman" w:hAnsi="Times New Roman" w:cs="Times New Roman"/>
              <w:b/>
              <w:color w:val="060606"/>
              <w:sz w:val="24"/>
              <w:szCs w:val="24"/>
            </w:rPr>
            <w:t>»</w:t>
          </w:r>
        </w:p>
        <w:p w14:paraId="4404B698" w14:textId="77777777" w:rsidR="003243F7" w:rsidRDefault="00B51F8D">
          <w:pPr>
            <w:ind w:left="0" w:hanging="2"/>
            <w:jc w:val="center"/>
            <w:rPr>
              <w:rFonts w:ascii="Times New Roman" w:hAnsi="Times New Roman" w:cs="Times New Roman"/>
              <w:sz w:val="24"/>
              <w:szCs w:val="24"/>
              <w:u w:val="single"/>
            </w:rPr>
          </w:pPr>
          <w:proofErr w:type="spellStart"/>
          <w:r>
            <w:rPr>
              <w:rFonts w:ascii="Times New Roman" w:hAnsi="Times New Roman" w:cs="Times New Roman"/>
              <w:sz w:val="24"/>
              <w:szCs w:val="24"/>
              <w:u w:val="single"/>
            </w:rPr>
            <w:t>office@izi.institute</w:t>
          </w:r>
          <w:proofErr w:type="spellEnd"/>
        </w:p>
        <w:p w14:paraId="03DDBE2A" w14:textId="77777777" w:rsidR="003243F7" w:rsidRDefault="00B51F8D">
          <w:pPr>
            <w:ind w:left="0" w:hanging="2"/>
            <w:jc w:val="center"/>
            <w:rPr>
              <w:rFonts w:ascii="Times New Roman" w:hAnsi="Times New Roman" w:cs="Times New Roman"/>
              <w:sz w:val="24"/>
              <w:szCs w:val="24"/>
            </w:rPr>
          </w:pPr>
          <w:proofErr w:type="spellStart"/>
          <w:r>
            <w:rPr>
              <w:rFonts w:ascii="Times New Roman" w:hAnsi="Times New Roman" w:cs="Times New Roman"/>
              <w:sz w:val="24"/>
              <w:szCs w:val="24"/>
            </w:rPr>
            <w:t>izi.institute</w:t>
          </w:r>
          <w:proofErr w:type="spellEnd"/>
        </w:p>
        <w:p w14:paraId="6CD4F5AC" w14:textId="77777777" w:rsidR="003243F7" w:rsidRDefault="00B51F8D">
          <w:pPr>
            <w:ind w:left="0" w:hanging="2"/>
            <w:jc w:val="center"/>
          </w:pPr>
          <w:r>
            <w:rPr>
              <w:rFonts w:ascii="Times New Roman" w:hAnsi="Times New Roman" w:cs="Times New Roman"/>
              <w:sz w:val="24"/>
              <w:szCs w:val="24"/>
            </w:rPr>
            <w:t>+38 (063) 763-85-09</w:t>
          </w:r>
        </w:p>
      </w:tc>
    </w:tr>
  </w:tbl>
  <w:p w14:paraId="2C8EEC89" w14:textId="77777777" w:rsidR="003243F7" w:rsidRDefault="003243F7">
    <w:pPr>
      <w:tabs>
        <w:tab w:val="center" w:pos="4677"/>
        <w:tab w:val="right" w:pos="9355"/>
      </w:tabs>
      <w:spacing w:line="240" w:lineRule="aut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3F7"/>
    <w:rsid w:val="00075521"/>
    <w:rsid w:val="00186B92"/>
    <w:rsid w:val="002C0137"/>
    <w:rsid w:val="003243F7"/>
    <w:rsid w:val="0037099E"/>
    <w:rsid w:val="004C5230"/>
    <w:rsid w:val="00564310"/>
    <w:rsid w:val="006A1321"/>
    <w:rsid w:val="008060FA"/>
    <w:rsid w:val="0082396D"/>
    <w:rsid w:val="009E7D41"/>
    <w:rsid w:val="00B51F8D"/>
    <w:rsid w:val="00BC7338"/>
    <w:rsid w:val="00C26457"/>
    <w:rsid w:val="00CB0998"/>
    <w:rsid w:val="00D05202"/>
    <w:rsid w:val="00DF7D3F"/>
    <w:rsid w:val="00E87A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5FFFE"/>
  <w15:docId w15:val="{0B0BBC4A-F328-4E8A-9D35-2E664060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leftChars="-1" w:left="-1" w:hangingChars="1"/>
      <w:textDirection w:val="btLr"/>
      <w:textAlignment w:val="top"/>
      <w:outlineLvl w:val="0"/>
    </w:pPr>
    <w:rPr>
      <w:rFonts w:eastAsia="Times New Roman"/>
      <w:color w:val="000000"/>
      <w:position w:val="-1"/>
      <w:szCs w:val="20"/>
    </w:rPr>
  </w:style>
  <w:style w:type="paragraph" w:styleId="1">
    <w:name w:val="heading 1"/>
    <w:basedOn w:val="10"/>
    <w:next w:val="10"/>
    <w:link w:val="11"/>
    <w:uiPriority w:val="9"/>
    <w:qFormat/>
    <w:pPr>
      <w:keepNext/>
      <w:keepLines/>
      <w:spacing w:before="480" w:after="120"/>
      <w:outlineLvl w:val="0"/>
    </w:pPr>
    <w:rPr>
      <w:b/>
      <w:sz w:val="48"/>
      <w:szCs w:val="48"/>
    </w:rPr>
  </w:style>
  <w:style w:type="paragraph" w:styleId="2">
    <w:name w:val="heading 2"/>
    <w:basedOn w:val="10"/>
    <w:next w:val="10"/>
    <w:link w:val="20"/>
    <w:uiPriority w:val="9"/>
    <w:semiHidden/>
    <w:unhideWhenUsed/>
    <w:qFormat/>
    <w:pPr>
      <w:keepNext/>
      <w:suppressAutoHyphens/>
      <w:spacing w:before="240" w:after="60"/>
      <w:ind w:leftChars="-1" w:left="-1" w:hangingChars="1"/>
      <w:textDirection w:val="btLr"/>
      <w:textAlignment w:val="top"/>
      <w:outlineLvl w:val="1"/>
    </w:pPr>
    <w:rPr>
      <w:rFonts w:ascii="Cambria" w:hAnsi="Cambria" w:cs="Times New Roman"/>
      <w:b/>
      <w:bCs/>
      <w:i/>
      <w:iCs/>
      <w:color w:val="000000"/>
      <w:position w:val="-1"/>
      <w:sz w:val="28"/>
      <w:szCs w:val="28"/>
    </w:rPr>
  </w:style>
  <w:style w:type="paragraph" w:styleId="3">
    <w:name w:val="heading 3"/>
    <w:basedOn w:val="10"/>
    <w:next w:val="10"/>
    <w:link w:val="30"/>
    <w:uiPriority w:val="9"/>
    <w:semiHidden/>
    <w:unhideWhenUsed/>
    <w:qFormat/>
    <w:pPr>
      <w:suppressAutoHyphens/>
      <w:spacing w:before="100" w:beforeAutospacing="1" w:after="100" w:afterAutospacing="1"/>
      <w:ind w:leftChars="-1" w:left="-1" w:hangingChars="1"/>
      <w:textDirection w:val="btLr"/>
      <w:textAlignment w:val="top"/>
      <w:outlineLvl w:val="2"/>
    </w:pPr>
    <w:rPr>
      <w:rFonts w:ascii="Times New Roman" w:hAnsi="Times New Roman" w:cs="Times New Roman"/>
      <w:b/>
      <w:bCs/>
      <w:position w:val="-1"/>
      <w:sz w:val="27"/>
      <w:szCs w:val="27"/>
    </w:rPr>
  </w:style>
  <w:style w:type="paragraph" w:styleId="4">
    <w:name w:val="heading 4"/>
    <w:basedOn w:val="10"/>
    <w:next w:val="10"/>
    <w:link w:val="40"/>
    <w:uiPriority w:val="9"/>
    <w:semiHidden/>
    <w:unhideWhenUsed/>
    <w:qFormat/>
    <w:pPr>
      <w:keepNext/>
      <w:keepLines/>
      <w:spacing w:before="240" w:after="40"/>
      <w:outlineLvl w:val="3"/>
    </w:pPr>
    <w:rPr>
      <w:b/>
      <w:sz w:val="24"/>
      <w:szCs w:val="24"/>
    </w:rPr>
  </w:style>
  <w:style w:type="paragraph" w:styleId="5">
    <w:name w:val="heading 5"/>
    <w:basedOn w:val="10"/>
    <w:next w:val="10"/>
    <w:link w:val="50"/>
    <w:uiPriority w:val="9"/>
    <w:semiHidden/>
    <w:unhideWhenUsed/>
    <w:qFormat/>
    <w:pPr>
      <w:keepNext/>
      <w:keepLines/>
      <w:spacing w:before="220" w:after="40"/>
      <w:outlineLvl w:val="4"/>
    </w:pPr>
    <w:rPr>
      <w:b/>
      <w:sz w:val="22"/>
      <w:szCs w:val="22"/>
    </w:rPr>
  </w:style>
  <w:style w:type="paragraph" w:styleId="6">
    <w:name w:val="heading 6"/>
    <w:basedOn w:val="10"/>
    <w:next w:val="10"/>
    <w:link w:val="60"/>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table" w:customStyle="1" w:styleId="TableNormalfd">
    <w:name w:val="Table Normal"/>
    <w:tblPr>
      <w:tblCellMar>
        <w:top w:w="0" w:type="dxa"/>
        <w:left w:w="0" w:type="dxa"/>
        <w:bottom w:w="0" w:type="dxa"/>
        <w:right w:w="0" w:type="dxa"/>
      </w:tblCellMar>
    </w:tblPr>
  </w:style>
  <w:style w:type="table" w:customStyle="1" w:styleId="TableNormalfe">
    <w:name w:val="Table Normal"/>
    <w:tblPr>
      <w:tblCellMar>
        <w:top w:w="0" w:type="dxa"/>
        <w:left w:w="0" w:type="dxa"/>
        <w:bottom w:w="0" w:type="dxa"/>
        <w:right w:w="0" w:type="dxa"/>
      </w:tblCellMar>
    </w:tblPr>
  </w:style>
  <w:style w:type="table" w:customStyle="1" w:styleId="TableNormalff">
    <w:name w:val="Table Normal"/>
    <w:tblPr>
      <w:tblCellMar>
        <w:top w:w="0" w:type="dxa"/>
        <w:left w:w="0" w:type="dxa"/>
        <w:bottom w:w="0" w:type="dxa"/>
        <w:right w:w="0" w:type="dxa"/>
      </w:tblCellMar>
    </w:tblPr>
  </w:style>
  <w:style w:type="table" w:customStyle="1" w:styleId="TableNormalff0">
    <w:name w:val="Table Normal"/>
    <w:tblPr>
      <w:tblCellMar>
        <w:top w:w="0" w:type="dxa"/>
        <w:left w:w="0" w:type="dxa"/>
        <w:bottom w:w="0" w:type="dxa"/>
        <w:right w:w="0" w:type="dxa"/>
      </w:tblCellMar>
    </w:tblPr>
  </w:style>
  <w:style w:type="table" w:customStyle="1" w:styleId="TableNormalff1">
    <w:name w:val="Table Normal"/>
    <w:tblPr>
      <w:tblCellMar>
        <w:top w:w="0" w:type="dxa"/>
        <w:left w:w="0" w:type="dxa"/>
        <w:bottom w:w="0" w:type="dxa"/>
        <w:right w:w="0" w:type="dxa"/>
      </w:tblCellMar>
    </w:tblPr>
  </w:style>
  <w:style w:type="table" w:customStyle="1" w:styleId="TableNormalff2">
    <w:name w:val="Table Normal"/>
    <w:tblPr>
      <w:tblCellMar>
        <w:top w:w="0" w:type="dxa"/>
        <w:left w:w="0" w:type="dxa"/>
        <w:bottom w:w="0" w:type="dxa"/>
        <w:right w:w="0" w:type="dxa"/>
      </w:tblCellMar>
    </w:tblPr>
  </w:style>
  <w:style w:type="table" w:customStyle="1" w:styleId="TableNormalff3">
    <w:name w:val="Table Normal"/>
    <w:tblPr>
      <w:tblCellMar>
        <w:top w:w="0" w:type="dxa"/>
        <w:left w:w="0" w:type="dxa"/>
        <w:bottom w:w="0" w:type="dxa"/>
        <w:right w:w="0" w:type="dxa"/>
      </w:tblCellMar>
    </w:tblPr>
  </w:style>
  <w:style w:type="table" w:customStyle="1" w:styleId="TableNormalff4">
    <w:name w:val="Table Normal"/>
    <w:tblPr>
      <w:tblCellMar>
        <w:top w:w="0" w:type="dxa"/>
        <w:left w:w="0" w:type="dxa"/>
        <w:bottom w:w="0" w:type="dxa"/>
        <w:right w:w="0" w:type="dxa"/>
      </w:tblCellMar>
    </w:tblPr>
  </w:style>
  <w:style w:type="table" w:customStyle="1" w:styleId="TableNormalff5">
    <w:name w:val="Table Normal"/>
    <w:tblPr>
      <w:tblCellMar>
        <w:top w:w="0" w:type="dxa"/>
        <w:left w:w="0" w:type="dxa"/>
        <w:bottom w:w="0" w:type="dxa"/>
        <w:right w:w="0" w:type="dxa"/>
      </w:tblCellMar>
    </w:tblPr>
  </w:style>
  <w:style w:type="table" w:customStyle="1" w:styleId="TableNormalff6">
    <w:name w:val="Table Normal"/>
    <w:tblPr>
      <w:tblCellMar>
        <w:top w:w="0" w:type="dxa"/>
        <w:left w:w="0" w:type="dxa"/>
        <w:bottom w:w="0" w:type="dxa"/>
        <w:right w:w="0" w:type="dxa"/>
      </w:tblCellMar>
    </w:tblPr>
  </w:style>
  <w:style w:type="table" w:customStyle="1" w:styleId="TableNormalff7">
    <w:name w:val="Table Normal"/>
    <w:tblPr>
      <w:tblCellMar>
        <w:top w:w="0" w:type="dxa"/>
        <w:left w:w="0" w:type="dxa"/>
        <w:bottom w:w="0" w:type="dxa"/>
        <w:right w:w="0" w:type="dxa"/>
      </w:tblCellMar>
    </w:tblPr>
  </w:style>
  <w:style w:type="table" w:customStyle="1" w:styleId="TableNormalff8">
    <w:name w:val="Table Normal"/>
    <w:tblPr>
      <w:tblCellMar>
        <w:top w:w="0" w:type="dxa"/>
        <w:left w:w="0" w:type="dxa"/>
        <w:bottom w:w="0" w:type="dxa"/>
        <w:right w:w="0" w:type="dxa"/>
      </w:tblCellMar>
    </w:tblPr>
  </w:style>
  <w:style w:type="table" w:customStyle="1" w:styleId="TableNormalff9">
    <w:name w:val="Table Normal"/>
    <w:tblPr>
      <w:tblCellMar>
        <w:top w:w="0" w:type="dxa"/>
        <w:left w:w="0" w:type="dxa"/>
        <w:bottom w:w="0" w:type="dxa"/>
        <w:right w:w="0" w:type="dxa"/>
      </w:tblCellMar>
    </w:tblPr>
  </w:style>
  <w:style w:type="table" w:customStyle="1" w:styleId="TableNormalffa">
    <w:name w:val="Table Normal"/>
    <w:tblPr>
      <w:tblCellMar>
        <w:top w:w="0" w:type="dxa"/>
        <w:left w:w="0" w:type="dxa"/>
        <w:bottom w:w="0" w:type="dxa"/>
        <w:right w:w="0" w:type="dxa"/>
      </w:tblCellMar>
    </w:tblPr>
  </w:style>
  <w:style w:type="table" w:customStyle="1" w:styleId="TableNormalffb">
    <w:name w:val="Table Normal"/>
    <w:tblPr>
      <w:tblCellMar>
        <w:top w:w="0" w:type="dxa"/>
        <w:left w:w="0" w:type="dxa"/>
        <w:bottom w:w="0" w:type="dxa"/>
        <w:right w:w="0" w:type="dxa"/>
      </w:tblCellMar>
    </w:tblPr>
  </w:style>
  <w:style w:type="table" w:customStyle="1" w:styleId="TableNormalffc">
    <w:name w:val="Table Normal"/>
    <w:tblPr>
      <w:tblCellMar>
        <w:top w:w="0" w:type="dxa"/>
        <w:left w:w="0" w:type="dxa"/>
        <w:bottom w:w="0" w:type="dxa"/>
        <w:right w:w="0" w:type="dxa"/>
      </w:tblCellMar>
    </w:tblPr>
  </w:style>
  <w:style w:type="character" w:customStyle="1" w:styleId="11">
    <w:name w:val="Заголовок 1 Знак"/>
    <w:basedOn w:val="a0"/>
    <w:link w:val="1"/>
    <w:uiPriority w:val="99"/>
    <w:locked/>
    <w:rPr>
      <w:rFonts w:ascii="Cambria" w:hAnsi="Cambria" w:cs="Times New Roman"/>
      <w:b/>
      <w:bCs/>
      <w:color w:val="000000"/>
      <w:kern w:val="32"/>
      <w:sz w:val="32"/>
      <w:szCs w:val="32"/>
    </w:rPr>
  </w:style>
  <w:style w:type="character" w:customStyle="1" w:styleId="20">
    <w:name w:val="Заголовок 2 Знак"/>
    <w:basedOn w:val="a0"/>
    <w:link w:val="2"/>
    <w:uiPriority w:val="99"/>
    <w:locked/>
    <w:rPr>
      <w:rFonts w:ascii="Cambria" w:hAnsi="Cambria" w:cs="Times New Roman"/>
      <w:b/>
      <w:i/>
      <w:color w:val="000000"/>
      <w:w w:val="100"/>
      <w:sz w:val="28"/>
      <w:effect w:val="none"/>
      <w:vertAlign w:val="baseline"/>
      <w:em w:val="none"/>
    </w:rPr>
  </w:style>
  <w:style w:type="character" w:customStyle="1" w:styleId="30">
    <w:name w:val="Заголовок 3 Знак"/>
    <w:basedOn w:val="a0"/>
    <w:link w:val="3"/>
    <w:uiPriority w:val="99"/>
    <w:locked/>
    <w:rPr>
      <w:rFonts w:ascii="Times New Roman" w:hAnsi="Times New Roman" w:cs="Times New Roman"/>
      <w:b/>
      <w:w w:val="100"/>
      <w:sz w:val="27"/>
      <w:effect w:val="none"/>
      <w:vertAlign w:val="baseline"/>
      <w:em w:val="none"/>
      <w:lang w:eastAsia="ru-RU"/>
    </w:rPr>
  </w:style>
  <w:style w:type="character" w:customStyle="1" w:styleId="40">
    <w:name w:val="Заголовок 4 Знак"/>
    <w:basedOn w:val="a0"/>
    <w:link w:val="4"/>
    <w:uiPriority w:val="99"/>
    <w:semiHidden/>
    <w:locked/>
    <w:rPr>
      <w:rFonts w:ascii="Calibri" w:hAnsi="Calibri" w:cs="Times New Roman"/>
      <w:b/>
      <w:bCs/>
      <w:color w:val="000000"/>
      <w:sz w:val="28"/>
      <w:szCs w:val="28"/>
    </w:rPr>
  </w:style>
  <w:style w:type="character" w:customStyle="1" w:styleId="50">
    <w:name w:val="Заголовок 5 Знак"/>
    <w:basedOn w:val="a0"/>
    <w:link w:val="5"/>
    <w:uiPriority w:val="99"/>
    <w:semiHidden/>
    <w:locked/>
    <w:rPr>
      <w:rFonts w:ascii="Calibri" w:hAnsi="Calibri" w:cs="Times New Roman"/>
      <w:b/>
      <w:bCs/>
      <w:i/>
      <w:iCs/>
      <w:color w:val="000000"/>
      <w:sz w:val="26"/>
      <w:szCs w:val="26"/>
    </w:rPr>
  </w:style>
  <w:style w:type="character" w:customStyle="1" w:styleId="60">
    <w:name w:val="Заголовок 6 Знак"/>
    <w:basedOn w:val="a0"/>
    <w:link w:val="6"/>
    <w:uiPriority w:val="99"/>
    <w:semiHidden/>
    <w:locked/>
    <w:rPr>
      <w:rFonts w:ascii="Calibri" w:hAnsi="Calibri" w:cs="Times New Roman"/>
      <w:b/>
      <w:bCs/>
      <w:color w:val="000000"/>
    </w:rPr>
  </w:style>
  <w:style w:type="paragraph" w:customStyle="1" w:styleId="12">
    <w:name w:val="Обычный1"/>
    <w:uiPriority w:val="99"/>
    <w:rsid w:val="0002022E"/>
  </w:style>
  <w:style w:type="character" w:customStyle="1" w:styleId="a4">
    <w:name w:val="Назва Знак"/>
    <w:basedOn w:val="a0"/>
    <w:link w:val="a3"/>
    <w:uiPriority w:val="99"/>
    <w:locked/>
    <w:rPr>
      <w:rFonts w:ascii="Cambria" w:hAnsi="Cambria" w:cs="Times New Roman"/>
      <w:b/>
      <w:bCs/>
      <w:color w:val="000000"/>
      <w:kern w:val="28"/>
      <w:sz w:val="32"/>
      <w:szCs w:val="32"/>
    </w:rPr>
  </w:style>
  <w:style w:type="paragraph" w:customStyle="1" w:styleId="normal3">
    <w:name w:val="normal3"/>
    <w:uiPriority w:val="99"/>
    <w:rsid w:val="0002022E"/>
  </w:style>
  <w:style w:type="paragraph" w:customStyle="1" w:styleId="normal2">
    <w:name w:val="normal2"/>
    <w:uiPriority w:val="99"/>
    <w:rsid w:val="0002022E"/>
  </w:style>
  <w:style w:type="paragraph" w:customStyle="1" w:styleId="normal1">
    <w:name w:val="normal1"/>
    <w:uiPriority w:val="99"/>
    <w:rsid w:val="0002022E"/>
  </w:style>
  <w:style w:type="paragraph" w:customStyle="1" w:styleId="10">
    <w:name w:val="Обычный1"/>
    <w:uiPriority w:val="99"/>
    <w:rPr>
      <w:sz w:val="20"/>
      <w:szCs w:val="20"/>
    </w:rPr>
  </w:style>
  <w:style w:type="paragraph" w:customStyle="1" w:styleId="StyleProp">
    <w:name w:val="StyleProp"/>
    <w:basedOn w:val="a"/>
    <w:uiPriority w:val="99"/>
    <w:pPr>
      <w:spacing w:line="200" w:lineRule="atLeast"/>
      <w:ind w:firstLine="227"/>
      <w:jc w:val="both"/>
    </w:pPr>
    <w:rPr>
      <w:rFonts w:ascii="Times New Roman" w:eastAsia="Arial" w:hAnsi="Times New Roman" w:cs="Times New Roman"/>
      <w:color w:val="auto"/>
      <w:sz w:val="18"/>
    </w:rPr>
  </w:style>
  <w:style w:type="table" w:styleId="a5">
    <w:name w:val="Table Grid"/>
    <w:basedOn w:val="a1"/>
    <w:uiPriority w:val="99"/>
    <w:pPr>
      <w:suppressAutoHyphens/>
      <w:spacing w:line="1" w:lineRule="atLeast"/>
      <w:ind w:leftChars="-1" w:left="-1" w:hangingChars="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Pr>
      <w:w w:val="100"/>
      <w:effect w:val="none"/>
      <w:vertAlign w:val="baseline"/>
      <w:em w:val="none"/>
    </w:rPr>
  </w:style>
  <w:style w:type="character" w:customStyle="1" w:styleId="apple-converted-space">
    <w:name w:val="apple-converted-space"/>
    <w:basedOn w:val="a0"/>
    <w:uiPriority w:val="99"/>
    <w:rPr>
      <w:rFonts w:cs="Times New Roman"/>
      <w:w w:val="100"/>
      <w:effect w:val="none"/>
      <w:vertAlign w:val="baseline"/>
      <w:em w:val="none"/>
    </w:rPr>
  </w:style>
  <w:style w:type="paragraph" w:customStyle="1" w:styleId="StyleZakonu">
    <w:name w:val="StyleZakonu"/>
    <w:basedOn w:val="a"/>
    <w:uiPriority w:val="99"/>
    <w:pPr>
      <w:spacing w:after="60" w:line="220" w:lineRule="atLeast"/>
      <w:ind w:firstLine="284"/>
      <w:jc w:val="both"/>
    </w:pPr>
    <w:rPr>
      <w:rFonts w:ascii="Times New Roman" w:eastAsia="Arial" w:hAnsi="Times New Roman" w:cs="Times New Roman"/>
      <w:color w:val="auto"/>
      <w:sz w:val="20"/>
    </w:rPr>
  </w:style>
  <w:style w:type="character" w:customStyle="1" w:styleId="StyleZakonu0">
    <w:name w:val="StyleZakonu Знак"/>
    <w:uiPriority w:val="99"/>
    <w:rPr>
      <w:rFonts w:ascii="Times New Roman" w:hAnsi="Times New Roman"/>
      <w:w w:val="100"/>
      <w:effect w:val="none"/>
      <w:vertAlign w:val="baseline"/>
      <w:em w:val="none"/>
      <w:lang w:eastAsia="ru-RU"/>
    </w:rPr>
  </w:style>
  <w:style w:type="character" w:styleId="a6">
    <w:name w:val="Hyperlink"/>
    <w:basedOn w:val="a0"/>
    <w:uiPriority w:val="99"/>
    <w:rPr>
      <w:rFonts w:cs="Times New Roman"/>
      <w:color w:val="0000FF"/>
      <w:w w:val="100"/>
      <w:u w:val="single"/>
      <w:effect w:val="none"/>
      <w:vertAlign w:val="baseline"/>
      <w:em w:val="none"/>
    </w:rPr>
  </w:style>
  <w:style w:type="paragraph" w:customStyle="1" w:styleId="rvps2">
    <w:name w:val="rvps2"/>
    <w:basedOn w:val="a"/>
    <w:uiPriority w:val="99"/>
    <w:pPr>
      <w:spacing w:before="100" w:after="100" w:line="240" w:lineRule="auto"/>
    </w:pPr>
    <w:rPr>
      <w:rFonts w:ascii="Times New Roman" w:eastAsia="Arial" w:hAnsi="Times New Roman" w:cs="Times New Roman"/>
      <w:color w:val="auto"/>
      <w:kern w:val="1"/>
      <w:sz w:val="24"/>
      <w:szCs w:val="24"/>
      <w:lang w:eastAsia="ar-SA"/>
    </w:rPr>
  </w:style>
  <w:style w:type="paragraph" w:styleId="a7">
    <w:name w:val="Body Text"/>
    <w:basedOn w:val="a"/>
    <w:link w:val="a8"/>
    <w:uiPriority w:val="99"/>
    <w:pPr>
      <w:widowControl w:val="0"/>
      <w:suppressAutoHyphens w:val="0"/>
      <w:spacing w:after="120" w:line="240" w:lineRule="auto"/>
    </w:pPr>
    <w:rPr>
      <w:rFonts w:ascii="Times New Roman" w:eastAsia="SimSun" w:hAnsi="Times New Roman" w:cs="Mangal"/>
      <w:color w:val="auto"/>
      <w:kern w:val="1"/>
      <w:sz w:val="24"/>
      <w:szCs w:val="24"/>
      <w:lang w:eastAsia="hi-IN" w:bidi="hi-IN"/>
    </w:rPr>
  </w:style>
  <w:style w:type="character" w:customStyle="1" w:styleId="a8">
    <w:name w:val="Основний текст Знак"/>
    <w:basedOn w:val="a0"/>
    <w:link w:val="a7"/>
    <w:uiPriority w:val="99"/>
    <w:locked/>
    <w:rPr>
      <w:rFonts w:ascii="Times New Roman" w:eastAsia="SimSun" w:hAnsi="Times New Roman" w:cs="Times New Roman"/>
      <w:w w:val="100"/>
      <w:kern w:val="1"/>
      <w:sz w:val="24"/>
      <w:effect w:val="none"/>
      <w:vertAlign w:val="baseline"/>
      <w:em w:val="none"/>
      <w:lang w:eastAsia="hi-IN" w:bidi="hi-IN"/>
    </w:rPr>
  </w:style>
  <w:style w:type="paragraph" w:styleId="a9">
    <w:name w:val="Normal (Web)"/>
    <w:basedOn w:val="a"/>
    <w:uiPriority w:val="99"/>
    <w:pPr>
      <w:spacing w:before="100" w:beforeAutospacing="1" w:after="100" w:afterAutospacing="1" w:line="240" w:lineRule="auto"/>
    </w:pPr>
    <w:rPr>
      <w:rFonts w:ascii="Times New Roman" w:eastAsia="Arial" w:hAnsi="Times New Roman" w:cs="Times New Roman"/>
      <w:color w:val="auto"/>
      <w:sz w:val="24"/>
      <w:szCs w:val="24"/>
    </w:rPr>
  </w:style>
  <w:style w:type="paragraph" w:customStyle="1" w:styleId="110">
    <w:name w:val="Кольоровий список — акцент 11"/>
    <w:basedOn w:val="a"/>
    <w:uiPriority w:val="99"/>
    <w:pPr>
      <w:spacing w:line="240" w:lineRule="auto"/>
      <w:ind w:left="720"/>
    </w:pPr>
    <w:rPr>
      <w:rFonts w:ascii="Times New Roman" w:hAnsi="Times New Roman" w:cs="Times New Roman"/>
      <w:color w:val="auto"/>
      <w:sz w:val="24"/>
      <w:szCs w:val="24"/>
      <w:lang w:val="ru-RU"/>
    </w:rPr>
  </w:style>
  <w:style w:type="paragraph" w:customStyle="1" w:styleId="aa">
    <w:name w:val="Нормальний текст"/>
    <w:basedOn w:val="a"/>
    <w:uiPriority w:val="99"/>
    <w:pPr>
      <w:spacing w:before="120" w:line="240" w:lineRule="auto"/>
      <w:ind w:firstLine="567"/>
      <w:jc w:val="both"/>
    </w:pPr>
    <w:rPr>
      <w:rFonts w:ascii="Antiqua" w:eastAsia="Arial" w:hAnsi="Antiqua" w:cs="Times New Roman"/>
      <w:color w:val="auto"/>
      <w:sz w:val="26"/>
    </w:rPr>
  </w:style>
  <w:style w:type="paragraph" w:customStyle="1" w:styleId="ParagraphStyle">
    <w:name w:val="Paragraph Style"/>
    <w:uiPriority w:val="99"/>
    <w:pPr>
      <w:suppressAutoHyphens/>
      <w:autoSpaceDE w:val="0"/>
      <w:autoSpaceDN w:val="0"/>
      <w:adjustRightInd w:val="0"/>
      <w:spacing w:line="1" w:lineRule="atLeast"/>
      <w:ind w:leftChars="-1" w:left="-1" w:hangingChars="1"/>
      <w:textDirection w:val="btLr"/>
      <w:textAlignment w:val="top"/>
      <w:outlineLvl w:val="0"/>
    </w:pPr>
    <w:rPr>
      <w:rFonts w:ascii="Courier New" w:hAnsi="Courier New" w:cs="Courier New"/>
      <w:position w:val="-1"/>
      <w:sz w:val="24"/>
      <w:szCs w:val="24"/>
      <w:lang w:val="ru-RU"/>
    </w:rPr>
  </w:style>
  <w:style w:type="character" w:customStyle="1" w:styleId="StyleProp0">
    <w:name w:val="StyleProp Знак"/>
    <w:uiPriority w:val="99"/>
    <w:rPr>
      <w:rFonts w:ascii="Times New Roman" w:hAnsi="Times New Roman"/>
      <w:w w:val="100"/>
      <w:sz w:val="18"/>
      <w:effect w:val="none"/>
      <w:vertAlign w:val="baseline"/>
      <w:em w:val="none"/>
      <w:lang w:eastAsia="ru-RU"/>
    </w:rPr>
  </w:style>
  <w:style w:type="character" w:customStyle="1" w:styleId="st42">
    <w:name w:val="st42"/>
    <w:uiPriority w:val="99"/>
    <w:rPr>
      <w:rFonts w:ascii="Times New Roman" w:hAnsi="Times New Roman"/>
      <w:color w:val="000000"/>
      <w:w w:val="100"/>
      <w:effect w:val="none"/>
      <w:vertAlign w:val="baseline"/>
      <w:em w:val="none"/>
    </w:rPr>
  </w:style>
  <w:style w:type="character" w:customStyle="1" w:styleId="rvts9">
    <w:name w:val="rvts9"/>
    <w:uiPriority w:val="99"/>
    <w:rPr>
      <w:w w:val="100"/>
      <w:effect w:val="none"/>
      <w:vertAlign w:val="baseline"/>
      <w:em w:val="none"/>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Arial" w:hAnsi="Courier New" w:cs="Times New Roman"/>
      <w:color w:val="auto"/>
      <w:sz w:val="20"/>
    </w:rPr>
  </w:style>
  <w:style w:type="character" w:customStyle="1" w:styleId="HTML0">
    <w:name w:val="Стандартний HTML Знак"/>
    <w:basedOn w:val="a0"/>
    <w:link w:val="HTML"/>
    <w:uiPriority w:val="99"/>
    <w:locked/>
    <w:rPr>
      <w:rFonts w:ascii="Courier New" w:hAnsi="Courier New" w:cs="Times New Roman"/>
      <w:w w:val="100"/>
      <w:effect w:val="none"/>
      <w:vertAlign w:val="baseline"/>
      <w:em w:val="none"/>
    </w:rPr>
  </w:style>
  <w:style w:type="character" w:customStyle="1" w:styleId="21">
    <w:name w:val="Заголовок №2_"/>
    <w:uiPriority w:val="99"/>
    <w:rPr>
      <w:rFonts w:ascii="Times New Roman" w:hAnsi="Times New Roman"/>
      <w:b/>
      <w:w w:val="100"/>
      <w:sz w:val="28"/>
      <w:effect w:val="none"/>
      <w:shd w:val="clear" w:color="auto" w:fill="FFFFFF"/>
      <w:vertAlign w:val="baseline"/>
      <w:em w:val="none"/>
    </w:rPr>
  </w:style>
  <w:style w:type="paragraph" w:customStyle="1" w:styleId="22">
    <w:name w:val="Заголовок №2"/>
    <w:basedOn w:val="a"/>
    <w:uiPriority w:val="99"/>
    <w:pPr>
      <w:widowControl w:val="0"/>
      <w:shd w:val="clear" w:color="auto" w:fill="FFFFFF"/>
      <w:spacing w:before="240" w:after="360" w:line="240" w:lineRule="atLeast"/>
      <w:ind w:firstLine="940"/>
      <w:jc w:val="both"/>
      <w:outlineLvl w:val="1"/>
    </w:pPr>
    <w:rPr>
      <w:rFonts w:ascii="Times New Roman" w:hAnsi="Times New Roman" w:cs="Times New Roman"/>
      <w:b/>
      <w:bCs/>
      <w:color w:val="auto"/>
      <w:sz w:val="28"/>
      <w:szCs w:val="28"/>
    </w:rPr>
  </w:style>
  <w:style w:type="paragraph" w:styleId="23">
    <w:name w:val="Body Text 2"/>
    <w:basedOn w:val="a"/>
    <w:link w:val="24"/>
    <w:uiPriority w:val="99"/>
    <w:pPr>
      <w:spacing w:after="120" w:line="480" w:lineRule="auto"/>
    </w:pPr>
    <w:rPr>
      <w:rFonts w:cs="Times New Roman"/>
    </w:rPr>
  </w:style>
  <w:style w:type="character" w:customStyle="1" w:styleId="24">
    <w:name w:val="Основний текст 2 Знак"/>
    <w:basedOn w:val="a0"/>
    <w:link w:val="23"/>
    <w:uiPriority w:val="99"/>
    <w:locked/>
    <w:rPr>
      <w:rFonts w:ascii="Arial" w:hAnsi="Arial" w:cs="Times New Roman"/>
      <w:color w:val="000000"/>
      <w:w w:val="100"/>
      <w:sz w:val="22"/>
      <w:effect w:val="none"/>
      <w:vertAlign w:val="baseline"/>
      <w:em w:val="none"/>
    </w:rPr>
  </w:style>
  <w:style w:type="character" w:customStyle="1" w:styleId="FontStyle">
    <w:name w:val="Font Style"/>
    <w:uiPriority w:val="99"/>
    <w:rPr>
      <w:color w:val="000000"/>
      <w:w w:val="100"/>
      <w:sz w:val="20"/>
      <w:effect w:val="none"/>
      <w:vertAlign w:val="baseline"/>
      <w:em w:val="none"/>
    </w:rPr>
  </w:style>
  <w:style w:type="paragraph" w:styleId="ab">
    <w:name w:val="List Paragraph"/>
    <w:basedOn w:val="a"/>
    <w:uiPriority w:val="99"/>
    <w:qFormat/>
    <w:pPr>
      <w:ind w:left="708"/>
    </w:pPr>
  </w:style>
  <w:style w:type="paragraph" w:customStyle="1" w:styleId="StyleProp2">
    <w:name w:val="StyleProp2"/>
    <w:basedOn w:val="a"/>
    <w:uiPriority w:val="99"/>
    <w:pPr>
      <w:spacing w:after="120" w:line="200" w:lineRule="atLeast"/>
      <w:ind w:firstLine="227"/>
      <w:jc w:val="both"/>
    </w:pPr>
    <w:rPr>
      <w:rFonts w:ascii="Times New Roman" w:eastAsia="Arial" w:hAnsi="Times New Roman" w:cs="Times New Roman"/>
      <w:color w:val="auto"/>
      <w:sz w:val="18"/>
    </w:rPr>
  </w:style>
  <w:style w:type="paragraph" w:styleId="ac">
    <w:name w:val="Balloon Text"/>
    <w:basedOn w:val="a"/>
    <w:link w:val="ad"/>
    <w:uiPriority w:val="99"/>
    <w:pPr>
      <w:spacing w:line="240" w:lineRule="auto"/>
    </w:pPr>
    <w:rPr>
      <w:rFonts w:ascii="Tahoma" w:hAnsi="Tahoma" w:cs="Tahoma"/>
      <w:sz w:val="16"/>
      <w:szCs w:val="16"/>
    </w:rPr>
  </w:style>
  <w:style w:type="character" w:customStyle="1" w:styleId="ad">
    <w:name w:val="Текст у виносці Знак"/>
    <w:basedOn w:val="a0"/>
    <w:link w:val="ac"/>
    <w:uiPriority w:val="99"/>
    <w:locked/>
    <w:rPr>
      <w:rFonts w:ascii="Tahoma" w:hAnsi="Tahoma" w:cs="Tahoma"/>
      <w:color w:val="000000"/>
      <w:w w:val="100"/>
      <w:sz w:val="16"/>
      <w:szCs w:val="16"/>
      <w:effect w:val="none"/>
      <w:vertAlign w:val="baseline"/>
      <w:em w:val="none"/>
      <w:lang w:val="uk-UA" w:eastAsia="uk-UA"/>
    </w:rPr>
  </w:style>
  <w:style w:type="paragraph" w:styleId="ae">
    <w:name w:val="header"/>
    <w:basedOn w:val="a"/>
    <w:link w:val="af"/>
    <w:uiPriority w:val="99"/>
    <w:pPr>
      <w:tabs>
        <w:tab w:val="center" w:pos="4677"/>
        <w:tab w:val="right" w:pos="9355"/>
      </w:tabs>
      <w:spacing w:line="240" w:lineRule="auto"/>
    </w:pPr>
  </w:style>
  <w:style w:type="character" w:customStyle="1" w:styleId="af">
    <w:name w:val="Верхній колонтитул Знак"/>
    <w:basedOn w:val="a0"/>
    <w:link w:val="ae"/>
    <w:uiPriority w:val="99"/>
    <w:locked/>
    <w:rPr>
      <w:rFonts w:ascii="Arial" w:hAnsi="Arial" w:cs="Arial"/>
      <w:color w:val="000000"/>
      <w:w w:val="100"/>
      <w:sz w:val="22"/>
      <w:effect w:val="none"/>
      <w:vertAlign w:val="baseline"/>
      <w:em w:val="none"/>
      <w:lang w:val="uk-UA" w:eastAsia="uk-UA"/>
    </w:rPr>
  </w:style>
  <w:style w:type="paragraph" w:styleId="af0">
    <w:name w:val="footer"/>
    <w:basedOn w:val="a"/>
    <w:link w:val="af1"/>
    <w:uiPriority w:val="99"/>
    <w:pPr>
      <w:tabs>
        <w:tab w:val="center" w:pos="4677"/>
        <w:tab w:val="right" w:pos="9355"/>
      </w:tabs>
      <w:spacing w:line="240" w:lineRule="auto"/>
    </w:pPr>
  </w:style>
  <w:style w:type="character" w:customStyle="1" w:styleId="af1">
    <w:name w:val="Нижній колонтитул Знак"/>
    <w:basedOn w:val="a0"/>
    <w:link w:val="af0"/>
    <w:uiPriority w:val="99"/>
    <w:locked/>
    <w:rPr>
      <w:rFonts w:ascii="Arial" w:hAnsi="Arial" w:cs="Arial"/>
      <w:color w:val="000000"/>
      <w:w w:val="100"/>
      <w:sz w:val="22"/>
      <w:effect w:val="none"/>
      <w:vertAlign w:val="baseline"/>
      <w:em w:val="none"/>
      <w:lang w:val="uk-UA" w:eastAsia="uk-UA"/>
    </w:rPr>
  </w:style>
  <w:style w:type="paragraph" w:styleId="af2">
    <w:name w:val="footnote text"/>
    <w:basedOn w:val="a"/>
    <w:link w:val="af3"/>
    <w:uiPriority w:val="99"/>
    <w:pPr>
      <w:spacing w:line="240" w:lineRule="auto"/>
    </w:pPr>
    <w:rPr>
      <w:sz w:val="20"/>
    </w:rPr>
  </w:style>
  <w:style w:type="character" w:customStyle="1" w:styleId="af3">
    <w:name w:val="Текст виноски Знак"/>
    <w:basedOn w:val="a0"/>
    <w:link w:val="af2"/>
    <w:uiPriority w:val="99"/>
    <w:locked/>
    <w:rPr>
      <w:rFonts w:ascii="Arial" w:hAnsi="Arial" w:cs="Arial"/>
      <w:color w:val="000000"/>
      <w:w w:val="100"/>
      <w:effect w:val="none"/>
      <w:vertAlign w:val="baseline"/>
      <w:em w:val="none"/>
      <w:lang w:val="uk-UA" w:eastAsia="uk-UA"/>
    </w:rPr>
  </w:style>
  <w:style w:type="character" w:styleId="af4">
    <w:name w:val="footnote reference"/>
    <w:basedOn w:val="a0"/>
    <w:uiPriority w:val="99"/>
    <w:rPr>
      <w:rFonts w:cs="Times New Roman"/>
      <w:w w:val="100"/>
      <w:effect w:val="none"/>
      <w:vertAlign w:val="superscript"/>
      <w:em w:val="none"/>
    </w:rPr>
  </w:style>
  <w:style w:type="paragraph" w:customStyle="1" w:styleId="Standard">
    <w:name w:val="Standard"/>
    <w:uiPriority w:val="99"/>
    <w:pPr>
      <w:autoSpaceDN w:val="0"/>
      <w:ind w:leftChars="-1" w:left="-1" w:hangingChars="1"/>
      <w:textDirection w:val="btLr"/>
      <w:textAlignment w:val="baseline"/>
      <w:outlineLvl w:val="0"/>
    </w:pPr>
    <w:rPr>
      <w:rFonts w:eastAsia="Times New Roman"/>
      <w:color w:val="000000"/>
      <w:kern w:val="3"/>
      <w:position w:val="-1"/>
      <w:szCs w:val="20"/>
    </w:rPr>
  </w:style>
  <w:style w:type="paragraph" w:customStyle="1" w:styleId="Textbody">
    <w:name w:val="Text body"/>
    <w:basedOn w:val="Standard"/>
    <w:uiPriority w:val="99"/>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3">
    <w:name w:val="Без интервала1"/>
    <w:uiPriority w:val="99"/>
    <w:pPr>
      <w:suppressAutoHyphens/>
      <w:spacing w:line="1" w:lineRule="atLeast"/>
      <w:ind w:leftChars="-1" w:left="-1" w:hangingChars="1"/>
      <w:textDirection w:val="btLr"/>
      <w:textAlignment w:val="top"/>
      <w:outlineLvl w:val="0"/>
    </w:pPr>
    <w:rPr>
      <w:rFonts w:ascii="Cambria" w:eastAsia="Times New Roman" w:hAnsi="Cambria"/>
      <w:position w:val="-1"/>
      <w:sz w:val="24"/>
      <w:szCs w:val="24"/>
      <w:lang w:val="ru-RU"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40" w:lineRule="auto"/>
    </w:pPr>
    <w:rPr>
      <w:rFonts w:ascii="Courier New" w:hAnsi="Liberation Serif" w:cs="Courier New"/>
      <w:kern w:val="1"/>
      <w:sz w:val="24"/>
      <w:szCs w:val="24"/>
      <w:lang w:val="ru-RU"/>
    </w:rPr>
  </w:style>
  <w:style w:type="character" w:customStyle="1" w:styleId="25">
    <w:name w:val="Основний текст (2)_"/>
    <w:uiPriority w:val="99"/>
    <w:rPr>
      <w:spacing w:val="-10"/>
      <w:w w:val="100"/>
      <w:effect w:val="none"/>
      <w:shd w:val="clear" w:color="auto" w:fill="FFFFFF"/>
      <w:vertAlign w:val="baseline"/>
      <w:em w:val="none"/>
    </w:rPr>
  </w:style>
  <w:style w:type="paragraph" w:customStyle="1" w:styleId="26">
    <w:name w:val="Основний текст (2)"/>
    <w:basedOn w:val="a"/>
    <w:uiPriority w:val="99"/>
    <w:pPr>
      <w:widowControl w:val="0"/>
      <w:shd w:val="clear" w:color="auto" w:fill="FFFFFF"/>
      <w:spacing w:before="360" w:after="360" w:line="240" w:lineRule="atLeast"/>
      <w:ind w:hanging="480"/>
      <w:jc w:val="both"/>
    </w:pPr>
    <w:rPr>
      <w:rFonts w:ascii="Calibri" w:hAnsi="Calibri" w:cs="Times New Roman"/>
      <w:color w:val="auto"/>
      <w:spacing w:val="-10"/>
      <w:sz w:val="20"/>
    </w:rPr>
  </w:style>
  <w:style w:type="paragraph" w:customStyle="1" w:styleId="14">
    <w:name w:val="Абзац списка1"/>
    <w:basedOn w:val="a"/>
    <w:uiPriority w:val="99"/>
    <w:pPr>
      <w:spacing w:after="160" w:line="259" w:lineRule="auto"/>
      <w:ind w:left="720"/>
    </w:pPr>
    <w:rPr>
      <w:rFonts w:ascii="Calibri" w:eastAsia="Arial" w:hAnsi="Calibri" w:cs="Times New Roman"/>
      <w:color w:val="auto"/>
      <w:szCs w:val="22"/>
      <w:lang w:eastAsia="en-US"/>
    </w:rPr>
  </w:style>
  <w:style w:type="character" w:customStyle="1" w:styleId="s3">
    <w:name w:val="s3"/>
    <w:uiPriority w:val="99"/>
    <w:rPr>
      <w:w w:val="100"/>
      <w:effect w:val="none"/>
      <w:vertAlign w:val="baseline"/>
      <w:em w:val="none"/>
    </w:rPr>
  </w:style>
  <w:style w:type="paragraph" w:styleId="af5">
    <w:name w:val="Body Text Indent"/>
    <w:basedOn w:val="a"/>
    <w:link w:val="af6"/>
    <w:uiPriority w:val="99"/>
    <w:pPr>
      <w:spacing w:after="120"/>
      <w:ind w:left="283"/>
    </w:pPr>
  </w:style>
  <w:style w:type="character" w:customStyle="1" w:styleId="af6">
    <w:name w:val="Основний текст з відступом Знак"/>
    <w:basedOn w:val="a0"/>
    <w:link w:val="af5"/>
    <w:uiPriority w:val="99"/>
    <w:locked/>
    <w:rPr>
      <w:rFonts w:ascii="Arial" w:hAnsi="Arial" w:cs="Arial"/>
      <w:color w:val="000000"/>
      <w:w w:val="100"/>
      <w:sz w:val="22"/>
      <w:effect w:val="none"/>
      <w:vertAlign w:val="baseline"/>
      <w:em w:val="none"/>
      <w:lang w:val="uk-UA" w:eastAsia="uk-UA"/>
    </w:rPr>
  </w:style>
  <w:style w:type="paragraph" w:customStyle="1" w:styleId="111">
    <w:name w:val="Обычный11"/>
    <w:uiPriority w:val="99"/>
    <w:pPr>
      <w:suppressAutoHyphens/>
      <w:spacing w:after="200"/>
      <w:ind w:leftChars="-1" w:left="-1" w:hangingChars="1"/>
      <w:textDirection w:val="btLr"/>
      <w:textAlignment w:val="top"/>
      <w:outlineLvl w:val="0"/>
    </w:pPr>
    <w:rPr>
      <w:position w:val="-1"/>
    </w:rPr>
  </w:style>
  <w:style w:type="paragraph" w:styleId="af7">
    <w:name w:val="endnote text"/>
    <w:basedOn w:val="a"/>
    <w:link w:val="af8"/>
    <w:uiPriority w:val="99"/>
    <w:pPr>
      <w:spacing w:line="240" w:lineRule="auto"/>
    </w:pPr>
    <w:rPr>
      <w:rFonts w:ascii="Calibri" w:hAnsi="Calibri" w:cs="Times New Roman"/>
      <w:color w:val="auto"/>
      <w:sz w:val="20"/>
      <w:lang w:val="ru-RU" w:eastAsia="en-US"/>
    </w:rPr>
  </w:style>
  <w:style w:type="character" w:customStyle="1" w:styleId="af8">
    <w:name w:val="Текст кінцевої виноски Знак"/>
    <w:basedOn w:val="a0"/>
    <w:link w:val="af7"/>
    <w:uiPriority w:val="99"/>
    <w:locked/>
    <w:rPr>
      <w:rFonts w:cs="Times New Roman"/>
      <w:w w:val="100"/>
      <w:effect w:val="none"/>
      <w:vertAlign w:val="baseline"/>
      <w:em w:val="none"/>
      <w:lang w:eastAsia="en-US"/>
    </w:rPr>
  </w:style>
  <w:style w:type="character" w:styleId="af9">
    <w:name w:val="endnote reference"/>
    <w:basedOn w:val="a0"/>
    <w:uiPriority w:val="99"/>
    <w:rPr>
      <w:rFonts w:cs="Times New Roman"/>
      <w:w w:val="100"/>
      <w:effect w:val="none"/>
      <w:vertAlign w:val="superscript"/>
      <w:em w:val="none"/>
    </w:rPr>
  </w:style>
  <w:style w:type="paragraph" w:customStyle="1" w:styleId="afa">
    <w:name w:val="Стиль"/>
    <w:basedOn w:val="a"/>
    <w:uiPriority w:val="99"/>
    <w:pPr>
      <w:spacing w:line="240" w:lineRule="auto"/>
    </w:pPr>
    <w:rPr>
      <w:rFonts w:ascii="Verdana" w:hAnsi="Verdana" w:cs="Verdana"/>
      <w:color w:val="auto"/>
      <w:sz w:val="20"/>
      <w:lang w:val="en-US" w:eastAsia="en-US"/>
    </w:rPr>
  </w:style>
  <w:style w:type="paragraph" w:styleId="afb">
    <w:name w:val="Subtitle"/>
    <w:basedOn w:val="a"/>
    <w:next w:val="a"/>
    <w:link w:val="afc"/>
    <w:uiPriority w:val="11"/>
    <w:qFormat/>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character" w:customStyle="1" w:styleId="afc">
    <w:name w:val="Підзаголовок Знак"/>
    <w:basedOn w:val="a0"/>
    <w:link w:val="afb"/>
    <w:uiPriority w:val="99"/>
    <w:locked/>
    <w:rPr>
      <w:rFonts w:ascii="Cambria" w:hAnsi="Cambria" w:cs="Times New Roman"/>
      <w:color w:val="000000"/>
      <w:sz w:val="24"/>
      <w:szCs w:val="24"/>
    </w:rPr>
  </w:style>
  <w:style w:type="table" w:customStyle="1" w:styleId="31">
    <w:name w:val="Стиль3"/>
    <w:uiPriority w:val="99"/>
    <w:rPr>
      <w:sz w:val="20"/>
      <w:szCs w:val="20"/>
    </w:rPr>
    <w:tblPr>
      <w:tblStyleRowBandSize w:val="1"/>
      <w:tblStyleColBandSize w:val="1"/>
      <w:tblInd w:w="0" w:type="dxa"/>
      <w:tblCellMar>
        <w:top w:w="15" w:type="dxa"/>
        <w:left w:w="15" w:type="dxa"/>
        <w:bottom w:w="15" w:type="dxa"/>
        <w:right w:w="15" w:type="dxa"/>
      </w:tblCellMar>
    </w:tblPr>
  </w:style>
  <w:style w:type="table" w:customStyle="1" w:styleId="27">
    <w:name w:val="Стиль2"/>
    <w:uiPriority w:val="99"/>
    <w:rPr>
      <w:sz w:val="20"/>
      <w:szCs w:val="20"/>
    </w:rPr>
    <w:tblPr>
      <w:tblStyleRowBandSize w:val="1"/>
      <w:tblStyleColBandSize w:val="1"/>
      <w:tblInd w:w="0" w:type="dxa"/>
      <w:tblCellMar>
        <w:top w:w="0" w:type="dxa"/>
        <w:left w:w="108" w:type="dxa"/>
        <w:bottom w:w="0" w:type="dxa"/>
        <w:right w:w="108" w:type="dxa"/>
      </w:tblCellMar>
    </w:tblPr>
  </w:style>
  <w:style w:type="table" w:customStyle="1" w:styleId="15">
    <w:name w:val="Стиль1"/>
    <w:uiPriority w:val="99"/>
    <w:rPr>
      <w:sz w:val="20"/>
      <w:szCs w:val="20"/>
    </w:rPr>
    <w:tblPr>
      <w:tblStyleRowBandSize w:val="1"/>
      <w:tblStyleColBandSize w:val="1"/>
      <w:tblInd w:w="0" w:type="dxa"/>
      <w:tblCellMar>
        <w:top w:w="0" w:type="dxa"/>
        <w:left w:w="108" w:type="dxa"/>
        <w:bottom w:w="0" w:type="dxa"/>
        <w:right w:w="108" w:type="dxa"/>
      </w:tblCellMar>
    </w:tblPr>
  </w:style>
  <w:style w:type="paragraph" w:styleId="afd">
    <w:name w:val="annotation text"/>
    <w:basedOn w:val="a"/>
    <w:link w:val="afe"/>
    <w:uiPriority w:val="99"/>
    <w:semiHidden/>
    <w:pPr>
      <w:suppressAutoHyphens w:val="0"/>
      <w:spacing w:line="240" w:lineRule="auto"/>
      <w:ind w:leftChars="0" w:left="0" w:firstLineChars="0" w:firstLine="0"/>
      <w:textDirection w:val="lrTb"/>
      <w:textAlignment w:val="auto"/>
      <w:outlineLvl w:val="9"/>
    </w:pPr>
    <w:rPr>
      <w:rFonts w:ascii="Calibri" w:eastAsia="Arial" w:hAnsi="Calibri" w:cs="Calibri"/>
      <w:color w:val="auto"/>
      <w:position w:val="0"/>
      <w:sz w:val="20"/>
    </w:rPr>
  </w:style>
  <w:style w:type="character" w:customStyle="1" w:styleId="afe">
    <w:name w:val="Текст примітки Знак"/>
    <w:basedOn w:val="a0"/>
    <w:link w:val="afd"/>
    <w:uiPriority w:val="99"/>
    <w:semiHidden/>
    <w:locked/>
    <w:rPr>
      <w:rFonts w:cs="Times New Roman"/>
    </w:rPr>
  </w:style>
  <w:style w:type="character" w:styleId="aff">
    <w:name w:val="annotation reference"/>
    <w:basedOn w:val="a0"/>
    <w:uiPriority w:val="99"/>
    <w:semiHidden/>
    <w:rPr>
      <w:rFonts w:cs="Times New Roman"/>
      <w:sz w:val="16"/>
      <w:szCs w:val="16"/>
    </w:rPr>
  </w:style>
  <w:style w:type="table" w:customStyle="1" w:styleId="150">
    <w:name w:val="Стиль15"/>
    <w:uiPriority w:val="99"/>
    <w:rsid w:val="0002022E"/>
    <w:rPr>
      <w:sz w:val="20"/>
      <w:szCs w:val="20"/>
    </w:rPr>
    <w:tblPr>
      <w:tblStyleRowBandSize w:val="1"/>
      <w:tblStyleColBandSize w:val="1"/>
      <w:tblInd w:w="0" w:type="dxa"/>
      <w:tblCellMar>
        <w:top w:w="15" w:type="dxa"/>
        <w:left w:w="15" w:type="dxa"/>
        <w:bottom w:w="15" w:type="dxa"/>
        <w:right w:w="15" w:type="dxa"/>
      </w:tblCellMar>
    </w:tblPr>
  </w:style>
  <w:style w:type="table" w:customStyle="1" w:styleId="140">
    <w:name w:val="Стиль14"/>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30">
    <w:name w:val="Стиль13"/>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Стиль12"/>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12">
    <w:name w:val="Стиль11"/>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Стиль10"/>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Стиль9"/>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8">
    <w:name w:val="Стиль8"/>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Стиль7"/>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Стиль6"/>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Стиль5"/>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Стиль4"/>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0">
    <w:basedOn w:val="TableNormalffc"/>
    <w:tblPr>
      <w:tblStyleRowBandSize w:val="1"/>
      <w:tblStyleColBandSize w:val="1"/>
      <w:tblCellMar>
        <w:left w:w="115" w:type="dxa"/>
        <w:right w:w="115" w:type="dxa"/>
      </w:tblCellMar>
    </w:tblPr>
  </w:style>
  <w:style w:type="table" w:customStyle="1" w:styleId="aff1">
    <w:basedOn w:val="TableNormalffc"/>
    <w:tblPr>
      <w:tblStyleRowBandSize w:val="1"/>
      <w:tblStyleColBandSize w:val="1"/>
      <w:tblCellMar>
        <w:left w:w="115" w:type="dxa"/>
        <w:right w:w="115" w:type="dxa"/>
      </w:tblCellMar>
    </w:tblPr>
  </w:style>
  <w:style w:type="table" w:customStyle="1" w:styleId="aff2">
    <w:basedOn w:val="TableNormalffc"/>
    <w:tblPr>
      <w:tblStyleRowBandSize w:val="1"/>
      <w:tblStyleColBandSize w:val="1"/>
      <w:tblCellMar>
        <w:left w:w="115" w:type="dxa"/>
        <w:right w:w="115" w:type="dxa"/>
      </w:tblCellMar>
    </w:tblPr>
  </w:style>
  <w:style w:type="table" w:customStyle="1" w:styleId="aff3">
    <w:basedOn w:val="TableNormalffc"/>
    <w:tblPr>
      <w:tblStyleRowBandSize w:val="1"/>
      <w:tblStyleColBandSize w:val="1"/>
      <w:tblCellMar>
        <w:left w:w="115" w:type="dxa"/>
        <w:right w:w="115" w:type="dxa"/>
      </w:tblCellMar>
    </w:tblPr>
  </w:style>
  <w:style w:type="table" w:customStyle="1" w:styleId="aff4">
    <w:basedOn w:val="TableNormalffc"/>
    <w:tblPr>
      <w:tblStyleRowBandSize w:val="1"/>
      <w:tblStyleColBandSize w:val="1"/>
      <w:tblCellMar>
        <w:left w:w="115" w:type="dxa"/>
        <w:right w:w="115" w:type="dxa"/>
      </w:tblCellMar>
    </w:tblPr>
  </w:style>
  <w:style w:type="table" w:customStyle="1" w:styleId="aff5">
    <w:basedOn w:val="TableNormalffc"/>
    <w:tblPr>
      <w:tblStyleRowBandSize w:val="1"/>
      <w:tblStyleColBandSize w:val="1"/>
      <w:tblCellMar>
        <w:left w:w="115" w:type="dxa"/>
        <w:right w:w="115" w:type="dxa"/>
      </w:tblCellMar>
    </w:tblPr>
  </w:style>
  <w:style w:type="table" w:customStyle="1" w:styleId="aff6">
    <w:basedOn w:val="TableNormalffc"/>
    <w:tblPr>
      <w:tblStyleRowBandSize w:val="1"/>
      <w:tblStyleColBandSize w:val="1"/>
      <w:tblCellMar>
        <w:left w:w="115" w:type="dxa"/>
        <w:right w:w="115" w:type="dxa"/>
      </w:tblCellMar>
    </w:tblPr>
  </w:style>
  <w:style w:type="table" w:customStyle="1" w:styleId="aff7">
    <w:basedOn w:val="TableNormalffc"/>
    <w:tblPr>
      <w:tblStyleRowBandSize w:val="1"/>
      <w:tblStyleColBandSize w:val="1"/>
      <w:tblCellMar>
        <w:left w:w="115" w:type="dxa"/>
        <w:right w:w="115" w:type="dxa"/>
      </w:tblCellMar>
    </w:tblPr>
  </w:style>
  <w:style w:type="table" w:customStyle="1" w:styleId="aff8">
    <w:basedOn w:val="TableNormalffc"/>
    <w:tblPr>
      <w:tblStyleRowBandSize w:val="1"/>
      <w:tblStyleColBandSize w:val="1"/>
      <w:tblCellMar>
        <w:left w:w="115" w:type="dxa"/>
        <w:right w:w="115" w:type="dxa"/>
      </w:tblCellMar>
    </w:tblPr>
  </w:style>
  <w:style w:type="table" w:customStyle="1" w:styleId="aff9">
    <w:basedOn w:val="TableNormalffc"/>
    <w:tblPr>
      <w:tblStyleRowBandSize w:val="1"/>
      <w:tblStyleColBandSize w:val="1"/>
      <w:tblCellMar>
        <w:left w:w="115" w:type="dxa"/>
        <w:right w:w="115" w:type="dxa"/>
      </w:tblCellMar>
    </w:tblPr>
  </w:style>
  <w:style w:type="table" w:customStyle="1" w:styleId="affa">
    <w:basedOn w:val="TableNormalffc"/>
    <w:tblPr>
      <w:tblStyleRowBandSize w:val="1"/>
      <w:tblStyleColBandSize w:val="1"/>
      <w:tblCellMar>
        <w:left w:w="115" w:type="dxa"/>
        <w:right w:w="115" w:type="dxa"/>
      </w:tblCellMar>
    </w:tblPr>
  </w:style>
  <w:style w:type="table" w:customStyle="1" w:styleId="affb">
    <w:basedOn w:val="TableNormalffc"/>
    <w:tblPr>
      <w:tblStyleRowBandSize w:val="1"/>
      <w:tblStyleColBandSize w:val="1"/>
      <w:tblCellMar>
        <w:left w:w="115" w:type="dxa"/>
        <w:right w:w="115" w:type="dxa"/>
      </w:tblCellMar>
    </w:tblPr>
  </w:style>
  <w:style w:type="table" w:customStyle="1" w:styleId="affc">
    <w:basedOn w:val="TableNormalffc"/>
    <w:tblPr>
      <w:tblStyleRowBandSize w:val="1"/>
      <w:tblStyleColBandSize w:val="1"/>
      <w:tblCellMar>
        <w:left w:w="115" w:type="dxa"/>
        <w:right w:w="115" w:type="dxa"/>
      </w:tblCellMar>
    </w:tblPr>
  </w:style>
  <w:style w:type="table" w:customStyle="1" w:styleId="affd">
    <w:basedOn w:val="TableNormalffc"/>
    <w:tblPr>
      <w:tblStyleRowBandSize w:val="1"/>
      <w:tblStyleColBandSize w:val="1"/>
      <w:tblCellMar>
        <w:left w:w="115" w:type="dxa"/>
        <w:right w:w="115" w:type="dxa"/>
      </w:tblCellMar>
    </w:tblPr>
  </w:style>
  <w:style w:type="table" w:customStyle="1" w:styleId="affe">
    <w:basedOn w:val="TableNormalffc"/>
    <w:tblPr>
      <w:tblStyleRowBandSize w:val="1"/>
      <w:tblStyleColBandSize w:val="1"/>
      <w:tblCellMar>
        <w:left w:w="115" w:type="dxa"/>
        <w:right w:w="115" w:type="dxa"/>
      </w:tblCellMar>
    </w:tblPr>
  </w:style>
  <w:style w:type="table" w:customStyle="1" w:styleId="afff">
    <w:basedOn w:val="TableNormalffc"/>
    <w:tblPr>
      <w:tblStyleRowBandSize w:val="1"/>
      <w:tblStyleColBandSize w:val="1"/>
      <w:tblCellMar>
        <w:left w:w="115" w:type="dxa"/>
        <w:right w:w="115" w:type="dxa"/>
      </w:tblCellMar>
    </w:tblPr>
  </w:style>
  <w:style w:type="table" w:customStyle="1" w:styleId="afff0">
    <w:basedOn w:val="TableNormalffc"/>
    <w:tblPr>
      <w:tblStyleRowBandSize w:val="1"/>
      <w:tblStyleColBandSize w:val="1"/>
      <w:tblCellMar>
        <w:left w:w="115" w:type="dxa"/>
        <w:right w:w="115" w:type="dxa"/>
      </w:tblCellMar>
    </w:tblPr>
  </w:style>
  <w:style w:type="table" w:customStyle="1" w:styleId="afff1">
    <w:basedOn w:val="TableNormalffc"/>
    <w:tblPr>
      <w:tblStyleRowBandSize w:val="1"/>
      <w:tblStyleColBandSize w:val="1"/>
      <w:tblCellMar>
        <w:left w:w="115" w:type="dxa"/>
        <w:right w:w="115" w:type="dxa"/>
      </w:tblCellMar>
    </w:tblPr>
  </w:style>
  <w:style w:type="table" w:customStyle="1" w:styleId="afff2">
    <w:basedOn w:val="TableNormalffc"/>
    <w:tblPr>
      <w:tblStyleRowBandSize w:val="1"/>
      <w:tblStyleColBandSize w:val="1"/>
      <w:tblCellMar>
        <w:left w:w="115" w:type="dxa"/>
        <w:right w:w="115" w:type="dxa"/>
      </w:tblCellMar>
    </w:tblPr>
  </w:style>
  <w:style w:type="table" w:customStyle="1" w:styleId="afff3">
    <w:basedOn w:val="TableNormalffc"/>
    <w:tblPr>
      <w:tblStyleRowBandSize w:val="1"/>
      <w:tblStyleColBandSize w:val="1"/>
      <w:tblCellMar>
        <w:left w:w="115" w:type="dxa"/>
        <w:right w:w="115" w:type="dxa"/>
      </w:tblCellMar>
    </w:tblPr>
  </w:style>
  <w:style w:type="table" w:customStyle="1" w:styleId="afff4">
    <w:basedOn w:val="TableNormalffc"/>
    <w:tblPr>
      <w:tblStyleRowBandSize w:val="1"/>
      <w:tblStyleColBandSize w:val="1"/>
      <w:tblCellMar>
        <w:left w:w="115" w:type="dxa"/>
        <w:right w:w="115" w:type="dxa"/>
      </w:tblCellMar>
    </w:tblPr>
  </w:style>
  <w:style w:type="table" w:customStyle="1" w:styleId="afff5">
    <w:basedOn w:val="TableNormalffc"/>
    <w:tblPr>
      <w:tblStyleRowBandSize w:val="1"/>
      <w:tblStyleColBandSize w:val="1"/>
      <w:tblCellMar>
        <w:left w:w="115" w:type="dxa"/>
        <w:right w:w="115" w:type="dxa"/>
      </w:tblCellMar>
    </w:tblPr>
  </w:style>
  <w:style w:type="table" w:customStyle="1" w:styleId="afff6">
    <w:basedOn w:val="TableNormalffc"/>
    <w:tblPr>
      <w:tblStyleRowBandSize w:val="1"/>
      <w:tblStyleColBandSize w:val="1"/>
      <w:tblCellMar>
        <w:left w:w="115" w:type="dxa"/>
        <w:right w:w="115" w:type="dxa"/>
      </w:tblCellMar>
    </w:tblPr>
  </w:style>
  <w:style w:type="table" w:customStyle="1" w:styleId="afff7">
    <w:basedOn w:val="TableNormalffc"/>
    <w:tblPr>
      <w:tblStyleRowBandSize w:val="1"/>
      <w:tblStyleColBandSize w:val="1"/>
      <w:tblCellMar>
        <w:left w:w="115" w:type="dxa"/>
        <w:right w:w="115" w:type="dxa"/>
      </w:tblCellMar>
    </w:tblPr>
  </w:style>
  <w:style w:type="table" w:customStyle="1" w:styleId="afff8">
    <w:basedOn w:val="TableNormalffc"/>
    <w:tblPr>
      <w:tblStyleRowBandSize w:val="1"/>
      <w:tblStyleColBandSize w:val="1"/>
      <w:tblCellMar>
        <w:left w:w="115" w:type="dxa"/>
        <w:right w:w="115" w:type="dxa"/>
      </w:tblCellMar>
    </w:tblPr>
  </w:style>
  <w:style w:type="table" w:customStyle="1" w:styleId="afff9">
    <w:basedOn w:val="TableNormalffc"/>
    <w:tblPr>
      <w:tblStyleRowBandSize w:val="1"/>
      <w:tblStyleColBandSize w:val="1"/>
      <w:tblCellMar>
        <w:left w:w="115" w:type="dxa"/>
        <w:right w:w="115" w:type="dxa"/>
      </w:tblCellMar>
    </w:tblPr>
  </w:style>
  <w:style w:type="table" w:customStyle="1" w:styleId="afffa">
    <w:basedOn w:val="TableNormalffc"/>
    <w:tblPr>
      <w:tblStyleRowBandSize w:val="1"/>
      <w:tblStyleColBandSize w:val="1"/>
      <w:tblCellMar>
        <w:left w:w="115" w:type="dxa"/>
        <w:right w:w="115" w:type="dxa"/>
      </w:tblCellMar>
    </w:tblPr>
  </w:style>
  <w:style w:type="table" w:customStyle="1" w:styleId="afffb">
    <w:basedOn w:val="TableNormalffc"/>
    <w:tblPr>
      <w:tblStyleRowBandSize w:val="1"/>
      <w:tblStyleColBandSize w:val="1"/>
      <w:tblCellMar>
        <w:left w:w="115" w:type="dxa"/>
        <w:right w:w="115" w:type="dxa"/>
      </w:tblCellMar>
    </w:tblPr>
  </w:style>
  <w:style w:type="table" w:customStyle="1" w:styleId="afffc">
    <w:basedOn w:val="TableNormalffc"/>
    <w:tblPr>
      <w:tblStyleRowBandSize w:val="1"/>
      <w:tblStyleColBandSize w:val="1"/>
      <w:tblCellMar>
        <w:left w:w="115" w:type="dxa"/>
        <w:right w:w="115" w:type="dxa"/>
      </w:tblCellMar>
    </w:tblPr>
  </w:style>
  <w:style w:type="table" w:customStyle="1" w:styleId="afffd">
    <w:basedOn w:val="TableNormalffc"/>
    <w:tblPr>
      <w:tblStyleRowBandSize w:val="1"/>
      <w:tblStyleColBandSize w:val="1"/>
      <w:tblCellMar>
        <w:left w:w="115" w:type="dxa"/>
        <w:right w:w="115" w:type="dxa"/>
      </w:tblCellMar>
    </w:tblPr>
  </w:style>
  <w:style w:type="table" w:customStyle="1" w:styleId="afffe">
    <w:basedOn w:val="TableNormalffc"/>
    <w:tblPr>
      <w:tblStyleRowBandSize w:val="1"/>
      <w:tblStyleColBandSize w:val="1"/>
      <w:tblCellMar>
        <w:left w:w="115" w:type="dxa"/>
        <w:right w:w="115" w:type="dxa"/>
      </w:tblCellMar>
    </w:tblPr>
  </w:style>
  <w:style w:type="table" w:customStyle="1" w:styleId="affff">
    <w:basedOn w:val="TableNormalffc"/>
    <w:tblPr>
      <w:tblStyleRowBandSize w:val="1"/>
      <w:tblStyleColBandSize w:val="1"/>
      <w:tblCellMar>
        <w:left w:w="115" w:type="dxa"/>
        <w:right w:w="115" w:type="dxa"/>
      </w:tblCellMar>
    </w:tblPr>
  </w:style>
  <w:style w:type="table" w:customStyle="1" w:styleId="affff0">
    <w:basedOn w:val="TableNormalffc"/>
    <w:tblPr>
      <w:tblStyleRowBandSize w:val="1"/>
      <w:tblStyleColBandSize w:val="1"/>
      <w:tblCellMar>
        <w:left w:w="115" w:type="dxa"/>
        <w:right w:w="115" w:type="dxa"/>
      </w:tblCellMar>
    </w:tblPr>
  </w:style>
  <w:style w:type="table" w:customStyle="1" w:styleId="affff1">
    <w:basedOn w:val="TableNormalffc"/>
    <w:tblPr>
      <w:tblStyleRowBandSize w:val="1"/>
      <w:tblStyleColBandSize w:val="1"/>
      <w:tblCellMar>
        <w:left w:w="115" w:type="dxa"/>
        <w:right w:w="115" w:type="dxa"/>
      </w:tblCellMar>
    </w:tblPr>
  </w:style>
  <w:style w:type="table" w:customStyle="1" w:styleId="affff2">
    <w:basedOn w:val="TableNormalffc"/>
    <w:tblPr>
      <w:tblStyleRowBandSize w:val="1"/>
      <w:tblStyleColBandSize w:val="1"/>
      <w:tblCellMar>
        <w:left w:w="115" w:type="dxa"/>
        <w:right w:w="115" w:type="dxa"/>
      </w:tblCellMar>
    </w:tblPr>
  </w:style>
  <w:style w:type="table" w:customStyle="1" w:styleId="affff3">
    <w:basedOn w:val="TableNormalffc"/>
    <w:tblPr>
      <w:tblStyleRowBandSize w:val="1"/>
      <w:tblStyleColBandSize w:val="1"/>
      <w:tblCellMar>
        <w:left w:w="115" w:type="dxa"/>
        <w:right w:w="115" w:type="dxa"/>
      </w:tblCellMar>
    </w:tblPr>
  </w:style>
  <w:style w:type="table" w:customStyle="1" w:styleId="affff4">
    <w:basedOn w:val="TableNormalffc"/>
    <w:tblPr>
      <w:tblStyleRowBandSize w:val="1"/>
      <w:tblStyleColBandSize w:val="1"/>
      <w:tblCellMar>
        <w:left w:w="115" w:type="dxa"/>
        <w:right w:w="115" w:type="dxa"/>
      </w:tblCellMar>
    </w:tblPr>
  </w:style>
  <w:style w:type="table" w:customStyle="1" w:styleId="affff5">
    <w:basedOn w:val="TableNormalffc"/>
    <w:tblPr>
      <w:tblStyleRowBandSize w:val="1"/>
      <w:tblStyleColBandSize w:val="1"/>
      <w:tblCellMar>
        <w:left w:w="115" w:type="dxa"/>
        <w:right w:w="115" w:type="dxa"/>
      </w:tblCellMar>
    </w:tblPr>
  </w:style>
  <w:style w:type="table" w:customStyle="1" w:styleId="affff6">
    <w:basedOn w:val="TableNormalffc"/>
    <w:tblPr>
      <w:tblStyleRowBandSize w:val="1"/>
      <w:tblStyleColBandSize w:val="1"/>
      <w:tblCellMar>
        <w:left w:w="115" w:type="dxa"/>
        <w:right w:w="115" w:type="dxa"/>
      </w:tblCellMar>
    </w:tblPr>
  </w:style>
  <w:style w:type="table" w:customStyle="1" w:styleId="affff7">
    <w:basedOn w:val="TableNormalffc"/>
    <w:tblPr>
      <w:tblStyleRowBandSize w:val="1"/>
      <w:tblStyleColBandSize w:val="1"/>
      <w:tblCellMar>
        <w:left w:w="115" w:type="dxa"/>
        <w:right w:w="115" w:type="dxa"/>
      </w:tblCellMar>
    </w:tblPr>
  </w:style>
  <w:style w:type="table" w:customStyle="1" w:styleId="affff8">
    <w:basedOn w:val="TableNormalffc"/>
    <w:tblPr>
      <w:tblStyleRowBandSize w:val="1"/>
      <w:tblStyleColBandSize w:val="1"/>
      <w:tblCellMar>
        <w:left w:w="115" w:type="dxa"/>
        <w:right w:w="115" w:type="dxa"/>
      </w:tblCellMar>
    </w:tblPr>
  </w:style>
  <w:style w:type="table" w:customStyle="1" w:styleId="affff9">
    <w:basedOn w:val="TableNormalffc"/>
    <w:tblPr>
      <w:tblStyleRowBandSize w:val="1"/>
      <w:tblStyleColBandSize w:val="1"/>
      <w:tblCellMar>
        <w:left w:w="115" w:type="dxa"/>
        <w:right w:w="115" w:type="dxa"/>
      </w:tblCellMar>
    </w:tblPr>
  </w:style>
  <w:style w:type="table" w:customStyle="1" w:styleId="affffa">
    <w:basedOn w:val="TableNormalffc"/>
    <w:tblPr>
      <w:tblStyleRowBandSize w:val="1"/>
      <w:tblStyleColBandSize w:val="1"/>
      <w:tblCellMar>
        <w:left w:w="115" w:type="dxa"/>
        <w:right w:w="115" w:type="dxa"/>
      </w:tblCellMar>
    </w:tblPr>
  </w:style>
  <w:style w:type="table" w:customStyle="1" w:styleId="affffb">
    <w:basedOn w:val="TableNormalffc"/>
    <w:tblPr>
      <w:tblStyleRowBandSize w:val="1"/>
      <w:tblStyleColBandSize w:val="1"/>
      <w:tblCellMar>
        <w:left w:w="115" w:type="dxa"/>
        <w:right w:w="115" w:type="dxa"/>
      </w:tblCellMar>
    </w:tblPr>
  </w:style>
  <w:style w:type="table" w:customStyle="1" w:styleId="affffc">
    <w:basedOn w:val="TableNormalffc"/>
    <w:tblPr>
      <w:tblStyleRowBandSize w:val="1"/>
      <w:tblStyleColBandSize w:val="1"/>
      <w:tblCellMar>
        <w:left w:w="115" w:type="dxa"/>
        <w:right w:w="115" w:type="dxa"/>
      </w:tblCellMar>
    </w:tblPr>
  </w:style>
  <w:style w:type="table" w:customStyle="1" w:styleId="affffd">
    <w:basedOn w:val="TableNormalffc"/>
    <w:tblPr>
      <w:tblStyleRowBandSize w:val="1"/>
      <w:tblStyleColBandSize w:val="1"/>
      <w:tblCellMar>
        <w:left w:w="115" w:type="dxa"/>
        <w:right w:w="115" w:type="dxa"/>
      </w:tblCellMar>
    </w:tblPr>
  </w:style>
  <w:style w:type="table" w:customStyle="1" w:styleId="affffe">
    <w:basedOn w:val="TableNormalffc"/>
    <w:tblPr>
      <w:tblStyleRowBandSize w:val="1"/>
      <w:tblStyleColBandSize w:val="1"/>
      <w:tblCellMar>
        <w:left w:w="115" w:type="dxa"/>
        <w:right w:w="115" w:type="dxa"/>
      </w:tblCellMar>
    </w:tblPr>
  </w:style>
  <w:style w:type="table" w:customStyle="1" w:styleId="afffff">
    <w:basedOn w:val="TableNormalffc"/>
    <w:tblPr>
      <w:tblStyleRowBandSize w:val="1"/>
      <w:tblStyleColBandSize w:val="1"/>
      <w:tblCellMar>
        <w:left w:w="115" w:type="dxa"/>
        <w:right w:w="115" w:type="dxa"/>
      </w:tblCellMar>
    </w:tblPr>
  </w:style>
  <w:style w:type="table" w:customStyle="1" w:styleId="afffff0">
    <w:basedOn w:val="TableNormalffc"/>
    <w:tblPr>
      <w:tblStyleRowBandSize w:val="1"/>
      <w:tblStyleColBandSize w:val="1"/>
      <w:tblCellMar>
        <w:left w:w="115" w:type="dxa"/>
        <w:right w:w="115" w:type="dxa"/>
      </w:tblCellMar>
    </w:tblPr>
  </w:style>
  <w:style w:type="table" w:customStyle="1" w:styleId="afffff1">
    <w:basedOn w:val="TableNormalffc"/>
    <w:tblPr>
      <w:tblStyleRowBandSize w:val="1"/>
      <w:tblStyleColBandSize w:val="1"/>
      <w:tblCellMar>
        <w:left w:w="115" w:type="dxa"/>
        <w:right w:w="115" w:type="dxa"/>
      </w:tblCellMar>
    </w:tblPr>
  </w:style>
  <w:style w:type="table" w:customStyle="1" w:styleId="afffff2">
    <w:basedOn w:val="TableNormalffc"/>
    <w:tblPr>
      <w:tblStyleRowBandSize w:val="1"/>
      <w:tblStyleColBandSize w:val="1"/>
      <w:tblCellMar>
        <w:top w:w="100" w:type="dxa"/>
        <w:left w:w="100" w:type="dxa"/>
        <w:bottom w:w="100" w:type="dxa"/>
        <w:right w:w="100" w:type="dxa"/>
      </w:tblCellMar>
    </w:tblPr>
  </w:style>
  <w:style w:type="table" w:customStyle="1" w:styleId="afffff3">
    <w:basedOn w:val="TableNormalffc"/>
    <w:tblPr>
      <w:tblStyleRowBandSize w:val="1"/>
      <w:tblStyleColBandSize w:val="1"/>
      <w:tblCellMar>
        <w:left w:w="115" w:type="dxa"/>
        <w:right w:w="115" w:type="dxa"/>
      </w:tblCellMar>
    </w:tblPr>
  </w:style>
  <w:style w:type="table" w:customStyle="1" w:styleId="afffff4">
    <w:basedOn w:val="TableNormalffc"/>
    <w:tblPr>
      <w:tblStyleRowBandSize w:val="1"/>
      <w:tblStyleColBandSize w:val="1"/>
      <w:tblCellMar>
        <w:left w:w="115" w:type="dxa"/>
        <w:right w:w="115" w:type="dxa"/>
      </w:tblCellMar>
    </w:tblPr>
  </w:style>
  <w:style w:type="table" w:customStyle="1" w:styleId="afffff5">
    <w:basedOn w:val="TableNormalffc"/>
    <w:tblPr>
      <w:tblStyleRowBandSize w:val="1"/>
      <w:tblStyleColBandSize w:val="1"/>
      <w:tblCellMar>
        <w:left w:w="115" w:type="dxa"/>
        <w:right w:w="115" w:type="dxa"/>
      </w:tblCellMar>
    </w:tblPr>
  </w:style>
  <w:style w:type="table" w:customStyle="1" w:styleId="afffff6">
    <w:basedOn w:val="TableNormalffc"/>
    <w:rPr>
      <w:sz w:val="20"/>
      <w:szCs w:val="20"/>
    </w:rPr>
    <w:tblPr>
      <w:tblStyleRowBandSize w:val="1"/>
      <w:tblStyleColBandSize w:val="1"/>
      <w:tblCellMar>
        <w:left w:w="115" w:type="dxa"/>
        <w:right w:w="115" w:type="dxa"/>
      </w:tblCellMar>
    </w:tblPr>
  </w:style>
  <w:style w:type="table" w:customStyle="1" w:styleId="afffff7">
    <w:basedOn w:val="TableNormalffc"/>
    <w:tblPr>
      <w:tblStyleRowBandSize w:val="1"/>
      <w:tblStyleColBandSize w:val="1"/>
      <w:tblCellMar>
        <w:left w:w="115" w:type="dxa"/>
        <w:right w:w="115" w:type="dxa"/>
      </w:tblCellMar>
    </w:tblPr>
  </w:style>
  <w:style w:type="table" w:customStyle="1" w:styleId="afffff8">
    <w:basedOn w:val="TableNormalffc"/>
    <w:rPr>
      <w:sz w:val="20"/>
      <w:szCs w:val="20"/>
    </w:rPr>
    <w:tblPr>
      <w:tblStyleRowBandSize w:val="1"/>
      <w:tblStyleColBandSize w:val="1"/>
      <w:tblCellMar>
        <w:left w:w="115" w:type="dxa"/>
        <w:right w:w="115" w:type="dxa"/>
      </w:tblCellMar>
    </w:tblPr>
  </w:style>
  <w:style w:type="table" w:customStyle="1" w:styleId="afffff9">
    <w:basedOn w:val="TableNormalffc"/>
    <w:rPr>
      <w:sz w:val="20"/>
      <w:szCs w:val="20"/>
    </w:rPr>
    <w:tblPr>
      <w:tblStyleRowBandSize w:val="1"/>
      <w:tblStyleColBandSize w:val="1"/>
      <w:tblCellMar>
        <w:left w:w="115" w:type="dxa"/>
        <w:right w:w="115" w:type="dxa"/>
      </w:tblCellMar>
    </w:tblPr>
  </w:style>
  <w:style w:type="table" w:customStyle="1" w:styleId="afffffa">
    <w:basedOn w:val="TableNormalffc"/>
    <w:rPr>
      <w:sz w:val="20"/>
      <w:szCs w:val="20"/>
    </w:rPr>
    <w:tblPr>
      <w:tblStyleRowBandSize w:val="1"/>
      <w:tblStyleColBandSize w:val="1"/>
      <w:tblCellMar>
        <w:left w:w="115" w:type="dxa"/>
        <w:right w:w="115" w:type="dxa"/>
      </w:tblCellMar>
    </w:tblPr>
  </w:style>
  <w:style w:type="table" w:customStyle="1" w:styleId="afffffb">
    <w:basedOn w:val="TableNormalffc"/>
    <w:rPr>
      <w:sz w:val="20"/>
      <w:szCs w:val="20"/>
    </w:rPr>
    <w:tblPr>
      <w:tblStyleRowBandSize w:val="1"/>
      <w:tblStyleColBandSize w:val="1"/>
      <w:tblCellMar>
        <w:left w:w="115" w:type="dxa"/>
        <w:right w:w="115" w:type="dxa"/>
      </w:tblCellMar>
    </w:tblPr>
  </w:style>
  <w:style w:type="table" w:customStyle="1" w:styleId="afffffc">
    <w:basedOn w:val="TableNormalffc"/>
    <w:rPr>
      <w:sz w:val="20"/>
      <w:szCs w:val="20"/>
    </w:rPr>
    <w:tblPr>
      <w:tblStyleRowBandSize w:val="1"/>
      <w:tblStyleColBandSize w:val="1"/>
      <w:tblCellMar>
        <w:left w:w="115" w:type="dxa"/>
        <w:right w:w="115" w:type="dxa"/>
      </w:tblCellMar>
    </w:tblPr>
  </w:style>
  <w:style w:type="table" w:customStyle="1" w:styleId="afffffd">
    <w:basedOn w:val="TableNormalffc"/>
    <w:rPr>
      <w:sz w:val="20"/>
      <w:szCs w:val="20"/>
    </w:rPr>
    <w:tblPr>
      <w:tblStyleRowBandSize w:val="1"/>
      <w:tblStyleColBandSize w:val="1"/>
      <w:tblCellMar>
        <w:left w:w="115" w:type="dxa"/>
        <w:right w:w="115" w:type="dxa"/>
      </w:tblCellMar>
    </w:tblPr>
  </w:style>
  <w:style w:type="table" w:customStyle="1" w:styleId="afffffe">
    <w:basedOn w:val="TableNormalffc"/>
    <w:rPr>
      <w:sz w:val="20"/>
      <w:szCs w:val="20"/>
    </w:rPr>
    <w:tblPr>
      <w:tblStyleRowBandSize w:val="1"/>
      <w:tblStyleColBandSize w:val="1"/>
      <w:tblCellMar>
        <w:left w:w="115" w:type="dxa"/>
        <w:right w:w="115" w:type="dxa"/>
      </w:tblCellMar>
    </w:tblPr>
  </w:style>
  <w:style w:type="table" w:customStyle="1" w:styleId="affffff">
    <w:basedOn w:val="TableNormalffc"/>
    <w:rPr>
      <w:sz w:val="20"/>
      <w:szCs w:val="20"/>
    </w:rPr>
    <w:tblPr>
      <w:tblStyleRowBandSize w:val="1"/>
      <w:tblStyleColBandSize w:val="1"/>
      <w:tblCellMar>
        <w:left w:w="115" w:type="dxa"/>
        <w:right w:w="115" w:type="dxa"/>
      </w:tblCellMar>
    </w:tblPr>
  </w:style>
  <w:style w:type="table" w:customStyle="1" w:styleId="affffff0">
    <w:basedOn w:val="TableNormalffc"/>
    <w:rPr>
      <w:sz w:val="20"/>
      <w:szCs w:val="20"/>
    </w:rPr>
    <w:tblPr>
      <w:tblStyleRowBandSize w:val="1"/>
      <w:tblStyleColBandSize w:val="1"/>
      <w:tblCellMar>
        <w:left w:w="115" w:type="dxa"/>
        <w:right w:w="115" w:type="dxa"/>
      </w:tblCellMar>
    </w:tblPr>
  </w:style>
  <w:style w:type="table" w:customStyle="1" w:styleId="affffff1">
    <w:basedOn w:val="TableNormalffc"/>
    <w:rPr>
      <w:sz w:val="20"/>
      <w:szCs w:val="20"/>
    </w:rPr>
    <w:tblPr>
      <w:tblStyleRowBandSize w:val="1"/>
      <w:tblStyleColBandSize w:val="1"/>
      <w:tblCellMar>
        <w:left w:w="115" w:type="dxa"/>
        <w:right w:w="115" w:type="dxa"/>
      </w:tblCellMar>
    </w:tblPr>
  </w:style>
  <w:style w:type="table" w:customStyle="1" w:styleId="affffff2">
    <w:basedOn w:val="TableNormalffc"/>
    <w:rPr>
      <w:sz w:val="20"/>
      <w:szCs w:val="20"/>
    </w:rPr>
    <w:tblPr>
      <w:tblStyleRowBandSize w:val="1"/>
      <w:tblStyleColBandSize w:val="1"/>
      <w:tblCellMar>
        <w:left w:w="115" w:type="dxa"/>
        <w:right w:w="115" w:type="dxa"/>
      </w:tblCellMar>
    </w:tblPr>
  </w:style>
  <w:style w:type="table" w:customStyle="1" w:styleId="affffff3">
    <w:basedOn w:val="TableNormalffc"/>
    <w:rPr>
      <w:sz w:val="20"/>
      <w:szCs w:val="20"/>
    </w:rPr>
    <w:tblPr>
      <w:tblStyleRowBandSize w:val="1"/>
      <w:tblStyleColBandSize w:val="1"/>
      <w:tblCellMar>
        <w:left w:w="115" w:type="dxa"/>
        <w:right w:w="115" w:type="dxa"/>
      </w:tblCellMar>
    </w:tblPr>
  </w:style>
  <w:style w:type="table" w:customStyle="1" w:styleId="affffff4">
    <w:basedOn w:val="TableNormalffc"/>
    <w:rPr>
      <w:sz w:val="20"/>
      <w:szCs w:val="20"/>
    </w:rPr>
    <w:tblPr>
      <w:tblStyleRowBandSize w:val="1"/>
      <w:tblStyleColBandSize w:val="1"/>
      <w:tblCellMar>
        <w:left w:w="115" w:type="dxa"/>
        <w:right w:w="115" w:type="dxa"/>
      </w:tblCellMar>
    </w:tblPr>
  </w:style>
  <w:style w:type="table" w:customStyle="1" w:styleId="affffff5">
    <w:basedOn w:val="TableNormalffc"/>
    <w:rPr>
      <w:sz w:val="20"/>
      <w:szCs w:val="20"/>
    </w:rPr>
    <w:tblPr>
      <w:tblStyleRowBandSize w:val="1"/>
      <w:tblStyleColBandSize w:val="1"/>
      <w:tblCellMar>
        <w:left w:w="115" w:type="dxa"/>
        <w:right w:w="115" w:type="dxa"/>
      </w:tblCellMar>
    </w:tblPr>
  </w:style>
  <w:style w:type="table" w:customStyle="1" w:styleId="affffff6">
    <w:basedOn w:val="TableNormalffc"/>
    <w:rPr>
      <w:sz w:val="20"/>
      <w:szCs w:val="20"/>
    </w:rPr>
    <w:tblPr>
      <w:tblStyleRowBandSize w:val="1"/>
      <w:tblStyleColBandSize w:val="1"/>
      <w:tblCellMar>
        <w:left w:w="115" w:type="dxa"/>
        <w:right w:w="115" w:type="dxa"/>
      </w:tblCellMar>
    </w:tblPr>
  </w:style>
  <w:style w:type="table" w:customStyle="1" w:styleId="affffff7">
    <w:basedOn w:val="TableNormalffc"/>
    <w:rPr>
      <w:sz w:val="20"/>
      <w:szCs w:val="20"/>
    </w:rPr>
    <w:tblPr>
      <w:tblStyleRowBandSize w:val="1"/>
      <w:tblStyleColBandSize w:val="1"/>
      <w:tblCellMar>
        <w:left w:w="115" w:type="dxa"/>
        <w:right w:w="115" w:type="dxa"/>
      </w:tblCellMar>
    </w:tblPr>
  </w:style>
  <w:style w:type="table" w:customStyle="1" w:styleId="affffff8">
    <w:basedOn w:val="TableNormalffc"/>
    <w:rPr>
      <w:sz w:val="20"/>
      <w:szCs w:val="20"/>
    </w:rPr>
    <w:tblPr>
      <w:tblStyleRowBandSize w:val="1"/>
      <w:tblStyleColBandSize w:val="1"/>
      <w:tblCellMar>
        <w:left w:w="115" w:type="dxa"/>
        <w:right w:w="115" w:type="dxa"/>
      </w:tblCellMar>
    </w:tblPr>
  </w:style>
  <w:style w:type="table" w:customStyle="1" w:styleId="affffff9">
    <w:basedOn w:val="TableNormalffc"/>
    <w:rPr>
      <w:sz w:val="20"/>
      <w:szCs w:val="20"/>
    </w:rPr>
    <w:tblPr>
      <w:tblStyleRowBandSize w:val="1"/>
      <w:tblStyleColBandSize w:val="1"/>
      <w:tblCellMar>
        <w:left w:w="115" w:type="dxa"/>
        <w:right w:w="115" w:type="dxa"/>
      </w:tblCellMar>
    </w:tblPr>
  </w:style>
  <w:style w:type="table" w:customStyle="1" w:styleId="affffffa">
    <w:basedOn w:val="TableNormalffc"/>
    <w:rPr>
      <w:sz w:val="20"/>
      <w:szCs w:val="20"/>
    </w:rPr>
    <w:tblPr>
      <w:tblStyleRowBandSize w:val="1"/>
      <w:tblStyleColBandSize w:val="1"/>
      <w:tblCellMar>
        <w:left w:w="115" w:type="dxa"/>
        <w:right w:w="115" w:type="dxa"/>
      </w:tblCellMar>
    </w:tblPr>
  </w:style>
  <w:style w:type="table" w:customStyle="1" w:styleId="affffffb">
    <w:basedOn w:val="TableNormalffc"/>
    <w:rPr>
      <w:sz w:val="20"/>
      <w:szCs w:val="20"/>
    </w:rPr>
    <w:tblPr>
      <w:tblStyleRowBandSize w:val="1"/>
      <w:tblStyleColBandSize w:val="1"/>
      <w:tblCellMar>
        <w:left w:w="115" w:type="dxa"/>
        <w:right w:w="115" w:type="dxa"/>
      </w:tblCellMar>
    </w:tblPr>
  </w:style>
  <w:style w:type="table" w:customStyle="1" w:styleId="affffffc">
    <w:basedOn w:val="TableNormalffc"/>
    <w:rPr>
      <w:sz w:val="20"/>
      <w:szCs w:val="20"/>
    </w:rPr>
    <w:tblPr>
      <w:tblStyleRowBandSize w:val="1"/>
      <w:tblStyleColBandSize w:val="1"/>
      <w:tblCellMar>
        <w:left w:w="115" w:type="dxa"/>
        <w:right w:w="115" w:type="dxa"/>
      </w:tblCellMar>
    </w:tblPr>
  </w:style>
  <w:style w:type="table" w:customStyle="1" w:styleId="affffffd">
    <w:basedOn w:val="TableNormalffc"/>
    <w:rPr>
      <w:sz w:val="20"/>
      <w:szCs w:val="20"/>
    </w:rPr>
    <w:tblPr>
      <w:tblStyleRowBandSize w:val="1"/>
      <w:tblStyleColBandSize w:val="1"/>
      <w:tblCellMar>
        <w:left w:w="115" w:type="dxa"/>
        <w:right w:w="115" w:type="dxa"/>
      </w:tblCellMar>
    </w:tblPr>
  </w:style>
  <w:style w:type="table" w:customStyle="1" w:styleId="affffffe">
    <w:basedOn w:val="TableNormalffc"/>
    <w:rPr>
      <w:sz w:val="20"/>
      <w:szCs w:val="20"/>
    </w:rPr>
    <w:tblPr>
      <w:tblStyleRowBandSize w:val="1"/>
      <w:tblStyleColBandSize w:val="1"/>
      <w:tblCellMar>
        <w:left w:w="115" w:type="dxa"/>
        <w:right w:w="115" w:type="dxa"/>
      </w:tblCellMar>
    </w:tblPr>
  </w:style>
  <w:style w:type="table" w:customStyle="1" w:styleId="afffffff">
    <w:basedOn w:val="TableNormalffc"/>
    <w:rPr>
      <w:sz w:val="20"/>
      <w:szCs w:val="20"/>
    </w:rPr>
    <w:tblPr>
      <w:tblStyleRowBandSize w:val="1"/>
      <w:tblStyleColBandSize w:val="1"/>
      <w:tblCellMar>
        <w:left w:w="115" w:type="dxa"/>
        <w:right w:w="115" w:type="dxa"/>
      </w:tblCellMar>
    </w:tblPr>
  </w:style>
  <w:style w:type="table" w:customStyle="1" w:styleId="afffffff0">
    <w:basedOn w:val="TableNormalffc"/>
    <w:rPr>
      <w:sz w:val="20"/>
      <w:szCs w:val="20"/>
    </w:rPr>
    <w:tblPr>
      <w:tblStyleRowBandSize w:val="1"/>
      <w:tblStyleColBandSize w:val="1"/>
      <w:tblCellMar>
        <w:left w:w="115" w:type="dxa"/>
        <w:right w:w="115" w:type="dxa"/>
      </w:tblCellMar>
    </w:tblPr>
  </w:style>
  <w:style w:type="table" w:customStyle="1" w:styleId="afffffff1">
    <w:basedOn w:val="TableNormalffc"/>
    <w:rPr>
      <w:sz w:val="20"/>
      <w:szCs w:val="20"/>
    </w:rPr>
    <w:tblPr>
      <w:tblStyleRowBandSize w:val="1"/>
      <w:tblStyleColBandSize w:val="1"/>
      <w:tblCellMar>
        <w:left w:w="115" w:type="dxa"/>
        <w:right w:w="115" w:type="dxa"/>
      </w:tblCellMar>
    </w:tblPr>
  </w:style>
  <w:style w:type="table" w:customStyle="1" w:styleId="afffffff2">
    <w:basedOn w:val="TableNormalffc"/>
    <w:rPr>
      <w:sz w:val="20"/>
      <w:szCs w:val="20"/>
    </w:rPr>
    <w:tblPr>
      <w:tblStyleRowBandSize w:val="1"/>
      <w:tblStyleColBandSize w:val="1"/>
      <w:tblCellMar>
        <w:left w:w="115" w:type="dxa"/>
        <w:right w:w="115" w:type="dxa"/>
      </w:tblCellMar>
    </w:tblPr>
  </w:style>
  <w:style w:type="table" w:customStyle="1" w:styleId="afffffff3">
    <w:basedOn w:val="TableNormalffc"/>
    <w:rPr>
      <w:sz w:val="20"/>
      <w:szCs w:val="20"/>
    </w:rPr>
    <w:tblPr>
      <w:tblStyleRowBandSize w:val="1"/>
      <w:tblStyleColBandSize w:val="1"/>
      <w:tblCellMar>
        <w:left w:w="115" w:type="dxa"/>
        <w:right w:w="115" w:type="dxa"/>
      </w:tblCellMar>
    </w:tblPr>
  </w:style>
  <w:style w:type="table" w:customStyle="1" w:styleId="afffffff4">
    <w:basedOn w:val="TableNormalffc"/>
    <w:rPr>
      <w:sz w:val="20"/>
      <w:szCs w:val="20"/>
    </w:rPr>
    <w:tblPr>
      <w:tblStyleRowBandSize w:val="1"/>
      <w:tblStyleColBandSize w:val="1"/>
      <w:tblCellMar>
        <w:left w:w="115" w:type="dxa"/>
        <w:right w:w="115" w:type="dxa"/>
      </w:tblCellMar>
    </w:tblPr>
  </w:style>
  <w:style w:type="table" w:customStyle="1" w:styleId="afffffff5">
    <w:basedOn w:val="TableNormalffc"/>
    <w:rPr>
      <w:sz w:val="20"/>
      <w:szCs w:val="20"/>
    </w:rPr>
    <w:tblPr>
      <w:tblStyleRowBandSize w:val="1"/>
      <w:tblStyleColBandSize w:val="1"/>
      <w:tblCellMar>
        <w:left w:w="115" w:type="dxa"/>
        <w:right w:w="115" w:type="dxa"/>
      </w:tblCellMar>
    </w:tblPr>
  </w:style>
  <w:style w:type="table" w:customStyle="1" w:styleId="afffffff6">
    <w:basedOn w:val="TableNormalffc"/>
    <w:rPr>
      <w:sz w:val="20"/>
      <w:szCs w:val="20"/>
    </w:rPr>
    <w:tblPr>
      <w:tblStyleRowBandSize w:val="1"/>
      <w:tblStyleColBandSize w:val="1"/>
      <w:tblCellMar>
        <w:left w:w="115" w:type="dxa"/>
        <w:right w:w="115" w:type="dxa"/>
      </w:tblCellMar>
    </w:tblPr>
  </w:style>
  <w:style w:type="table" w:customStyle="1" w:styleId="afffffff7">
    <w:basedOn w:val="TableNormalffc"/>
    <w:rPr>
      <w:sz w:val="20"/>
      <w:szCs w:val="20"/>
    </w:rPr>
    <w:tblPr>
      <w:tblStyleRowBandSize w:val="1"/>
      <w:tblStyleColBandSize w:val="1"/>
      <w:tblCellMar>
        <w:left w:w="115" w:type="dxa"/>
        <w:right w:w="115" w:type="dxa"/>
      </w:tblCellMar>
    </w:tblPr>
  </w:style>
  <w:style w:type="table" w:customStyle="1" w:styleId="afffffff8">
    <w:basedOn w:val="TableNormalffc"/>
    <w:rPr>
      <w:sz w:val="20"/>
      <w:szCs w:val="20"/>
    </w:rPr>
    <w:tblPr>
      <w:tblStyleRowBandSize w:val="1"/>
      <w:tblStyleColBandSize w:val="1"/>
      <w:tblCellMar>
        <w:left w:w="115" w:type="dxa"/>
        <w:right w:w="115" w:type="dxa"/>
      </w:tblCellMar>
    </w:tblPr>
  </w:style>
  <w:style w:type="table" w:customStyle="1" w:styleId="afffffff9">
    <w:basedOn w:val="TableNormalffc"/>
    <w:rPr>
      <w:sz w:val="20"/>
      <w:szCs w:val="20"/>
    </w:rPr>
    <w:tblPr>
      <w:tblStyleRowBandSize w:val="1"/>
      <w:tblStyleColBandSize w:val="1"/>
      <w:tblCellMar>
        <w:left w:w="115" w:type="dxa"/>
        <w:right w:w="115" w:type="dxa"/>
      </w:tblCellMar>
    </w:tblPr>
  </w:style>
  <w:style w:type="table" w:customStyle="1" w:styleId="afffffffa">
    <w:basedOn w:val="TableNormalffc"/>
    <w:rPr>
      <w:sz w:val="20"/>
      <w:szCs w:val="20"/>
    </w:rPr>
    <w:tblPr>
      <w:tblStyleRowBandSize w:val="1"/>
      <w:tblStyleColBandSize w:val="1"/>
      <w:tblCellMar>
        <w:left w:w="115" w:type="dxa"/>
        <w:right w:w="115" w:type="dxa"/>
      </w:tblCellMar>
    </w:tblPr>
  </w:style>
  <w:style w:type="table" w:customStyle="1" w:styleId="afffffffb">
    <w:basedOn w:val="TableNormalffc"/>
    <w:rPr>
      <w:sz w:val="20"/>
      <w:szCs w:val="20"/>
    </w:rPr>
    <w:tblPr>
      <w:tblStyleRowBandSize w:val="1"/>
      <w:tblStyleColBandSize w:val="1"/>
      <w:tblCellMar>
        <w:left w:w="115" w:type="dxa"/>
        <w:right w:w="115" w:type="dxa"/>
      </w:tblCellMar>
    </w:tblPr>
  </w:style>
  <w:style w:type="table" w:customStyle="1" w:styleId="afffffffc">
    <w:basedOn w:val="TableNormalffc"/>
    <w:rPr>
      <w:sz w:val="20"/>
      <w:szCs w:val="20"/>
    </w:rPr>
    <w:tblPr>
      <w:tblStyleRowBandSize w:val="1"/>
      <w:tblStyleColBandSize w:val="1"/>
      <w:tblCellMar>
        <w:left w:w="115" w:type="dxa"/>
        <w:right w:w="115" w:type="dxa"/>
      </w:tblCellMar>
    </w:tblPr>
  </w:style>
  <w:style w:type="table" w:customStyle="1" w:styleId="afffffffd">
    <w:basedOn w:val="TableNormalffc"/>
    <w:rPr>
      <w:sz w:val="20"/>
      <w:szCs w:val="20"/>
    </w:rPr>
    <w:tblPr>
      <w:tblStyleRowBandSize w:val="1"/>
      <w:tblStyleColBandSize w:val="1"/>
      <w:tblCellMar>
        <w:left w:w="115" w:type="dxa"/>
        <w:right w:w="115" w:type="dxa"/>
      </w:tblCellMar>
    </w:tblPr>
  </w:style>
  <w:style w:type="table" w:customStyle="1" w:styleId="afffffffe">
    <w:basedOn w:val="TableNormalffc"/>
    <w:rPr>
      <w:sz w:val="20"/>
      <w:szCs w:val="20"/>
    </w:rPr>
    <w:tblPr>
      <w:tblStyleRowBandSize w:val="1"/>
      <w:tblStyleColBandSize w:val="1"/>
      <w:tblCellMar>
        <w:left w:w="115" w:type="dxa"/>
        <w:right w:w="115" w:type="dxa"/>
      </w:tblCellMar>
    </w:tblPr>
  </w:style>
  <w:style w:type="table" w:customStyle="1" w:styleId="affffffff">
    <w:basedOn w:val="TableNormalffc"/>
    <w:rPr>
      <w:sz w:val="20"/>
      <w:szCs w:val="20"/>
    </w:rPr>
    <w:tblPr>
      <w:tblStyleRowBandSize w:val="1"/>
      <w:tblStyleColBandSize w:val="1"/>
      <w:tblCellMar>
        <w:left w:w="115" w:type="dxa"/>
        <w:right w:w="115" w:type="dxa"/>
      </w:tblCellMar>
    </w:tblPr>
  </w:style>
  <w:style w:type="table" w:customStyle="1" w:styleId="affffffff0">
    <w:basedOn w:val="TableNormalffc"/>
    <w:rPr>
      <w:sz w:val="20"/>
      <w:szCs w:val="20"/>
    </w:rPr>
    <w:tblPr>
      <w:tblStyleRowBandSize w:val="1"/>
      <w:tblStyleColBandSize w:val="1"/>
      <w:tblCellMar>
        <w:left w:w="115" w:type="dxa"/>
        <w:right w:w="115" w:type="dxa"/>
      </w:tblCellMar>
    </w:tblPr>
  </w:style>
  <w:style w:type="table" w:customStyle="1" w:styleId="affffffff1">
    <w:basedOn w:val="TableNormalffc"/>
    <w:rPr>
      <w:sz w:val="20"/>
      <w:szCs w:val="20"/>
    </w:rPr>
    <w:tblPr>
      <w:tblStyleRowBandSize w:val="1"/>
      <w:tblStyleColBandSize w:val="1"/>
      <w:tblCellMar>
        <w:left w:w="115" w:type="dxa"/>
        <w:right w:w="115" w:type="dxa"/>
      </w:tblCellMar>
    </w:tblPr>
  </w:style>
  <w:style w:type="table" w:customStyle="1" w:styleId="affffffff2">
    <w:basedOn w:val="TableNormalffc"/>
    <w:rPr>
      <w:sz w:val="20"/>
      <w:szCs w:val="20"/>
    </w:rPr>
    <w:tblPr>
      <w:tblStyleRowBandSize w:val="1"/>
      <w:tblStyleColBandSize w:val="1"/>
      <w:tblCellMar>
        <w:left w:w="115" w:type="dxa"/>
        <w:right w:w="115" w:type="dxa"/>
      </w:tblCellMar>
    </w:tblPr>
  </w:style>
  <w:style w:type="table" w:customStyle="1" w:styleId="affffffff3">
    <w:basedOn w:val="TableNormalffc"/>
    <w:rPr>
      <w:sz w:val="20"/>
      <w:szCs w:val="20"/>
    </w:rPr>
    <w:tblPr>
      <w:tblStyleRowBandSize w:val="1"/>
      <w:tblStyleColBandSize w:val="1"/>
      <w:tblCellMar>
        <w:left w:w="115" w:type="dxa"/>
        <w:right w:w="115" w:type="dxa"/>
      </w:tblCellMar>
    </w:tblPr>
  </w:style>
  <w:style w:type="table" w:customStyle="1" w:styleId="affffffff4">
    <w:basedOn w:val="TableNormalffc"/>
    <w:rPr>
      <w:sz w:val="20"/>
      <w:szCs w:val="20"/>
    </w:rPr>
    <w:tblPr>
      <w:tblStyleRowBandSize w:val="1"/>
      <w:tblStyleColBandSize w:val="1"/>
      <w:tblCellMar>
        <w:left w:w="115" w:type="dxa"/>
        <w:right w:w="115" w:type="dxa"/>
      </w:tblCellMar>
    </w:tblPr>
  </w:style>
  <w:style w:type="table" w:customStyle="1" w:styleId="affffffff5">
    <w:basedOn w:val="TableNormalffc"/>
    <w:rPr>
      <w:sz w:val="20"/>
      <w:szCs w:val="20"/>
    </w:rPr>
    <w:tblPr>
      <w:tblStyleRowBandSize w:val="1"/>
      <w:tblStyleColBandSize w:val="1"/>
      <w:tblCellMar>
        <w:left w:w="115" w:type="dxa"/>
        <w:right w:w="115" w:type="dxa"/>
      </w:tblCellMar>
    </w:tblPr>
  </w:style>
  <w:style w:type="table" w:customStyle="1" w:styleId="affffffff6">
    <w:basedOn w:val="TableNormalffc"/>
    <w:rPr>
      <w:sz w:val="20"/>
      <w:szCs w:val="20"/>
    </w:rPr>
    <w:tblPr>
      <w:tblStyleRowBandSize w:val="1"/>
      <w:tblStyleColBandSize w:val="1"/>
      <w:tblCellMar>
        <w:left w:w="115" w:type="dxa"/>
        <w:right w:w="115" w:type="dxa"/>
      </w:tblCellMar>
    </w:tblPr>
  </w:style>
  <w:style w:type="table" w:customStyle="1" w:styleId="affffffff7">
    <w:basedOn w:val="TableNormalffc"/>
    <w:rPr>
      <w:sz w:val="20"/>
      <w:szCs w:val="20"/>
    </w:rPr>
    <w:tblPr>
      <w:tblStyleRowBandSize w:val="1"/>
      <w:tblStyleColBandSize w:val="1"/>
      <w:tblCellMar>
        <w:left w:w="115" w:type="dxa"/>
        <w:right w:w="115" w:type="dxa"/>
      </w:tblCellMar>
    </w:tblPr>
  </w:style>
  <w:style w:type="table" w:customStyle="1" w:styleId="affffffff8">
    <w:basedOn w:val="TableNormalffc"/>
    <w:rPr>
      <w:sz w:val="20"/>
      <w:szCs w:val="20"/>
    </w:rPr>
    <w:tblPr>
      <w:tblStyleRowBandSize w:val="1"/>
      <w:tblStyleColBandSize w:val="1"/>
      <w:tblCellMar>
        <w:left w:w="115" w:type="dxa"/>
        <w:right w:w="115" w:type="dxa"/>
      </w:tblCellMar>
    </w:tblPr>
  </w:style>
  <w:style w:type="table" w:customStyle="1" w:styleId="affffffff9">
    <w:basedOn w:val="TableNormalffc"/>
    <w:rPr>
      <w:sz w:val="20"/>
      <w:szCs w:val="20"/>
    </w:rPr>
    <w:tblPr>
      <w:tblStyleRowBandSize w:val="1"/>
      <w:tblStyleColBandSize w:val="1"/>
      <w:tblCellMar>
        <w:left w:w="115" w:type="dxa"/>
        <w:right w:w="115" w:type="dxa"/>
      </w:tblCellMar>
    </w:tblPr>
  </w:style>
  <w:style w:type="table" w:customStyle="1" w:styleId="affffffffa">
    <w:basedOn w:val="TableNormalffc"/>
    <w:rPr>
      <w:sz w:val="20"/>
      <w:szCs w:val="20"/>
    </w:rPr>
    <w:tblPr>
      <w:tblStyleRowBandSize w:val="1"/>
      <w:tblStyleColBandSize w:val="1"/>
      <w:tblCellMar>
        <w:left w:w="115" w:type="dxa"/>
        <w:right w:w="115" w:type="dxa"/>
      </w:tblCellMar>
    </w:tblPr>
  </w:style>
  <w:style w:type="table" w:customStyle="1" w:styleId="affffffffb">
    <w:basedOn w:val="TableNormalffc"/>
    <w:rPr>
      <w:sz w:val="20"/>
      <w:szCs w:val="20"/>
    </w:rPr>
    <w:tblPr>
      <w:tblStyleRowBandSize w:val="1"/>
      <w:tblStyleColBandSize w:val="1"/>
      <w:tblCellMar>
        <w:left w:w="115" w:type="dxa"/>
        <w:right w:w="115" w:type="dxa"/>
      </w:tblCellMar>
    </w:tblPr>
  </w:style>
  <w:style w:type="table" w:customStyle="1" w:styleId="affffffffc">
    <w:basedOn w:val="TableNormalffc"/>
    <w:rPr>
      <w:sz w:val="20"/>
      <w:szCs w:val="20"/>
    </w:rPr>
    <w:tblPr>
      <w:tblStyleRowBandSize w:val="1"/>
      <w:tblStyleColBandSize w:val="1"/>
      <w:tblCellMar>
        <w:left w:w="115" w:type="dxa"/>
        <w:right w:w="115" w:type="dxa"/>
      </w:tblCellMar>
    </w:tblPr>
  </w:style>
  <w:style w:type="table" w:customStyle="1" w:styleId="affffffffd">
    <w:basedOn w:val="TableNormalffc"/>
    <w:rPr>
      <w:sz w:val="20"/>
      <w:szCs w:val="20"/>
    </w:rPr>
    <w:tblPr>
      <w:tblStyleRowBandSize w:val="1"/>
      <w:tblStyleColBandSize w:val="1"/>
      <w:tblCellMar>
        <w:left w:w="115" w:type="dxa"/>
        <w:right w:w="115" w:type="dxa"/>
      </w:tblCellMar>
    </w:tblPr>
  </w:style>
  <w:style w:type="table" w:customStyle="1" w:styleId="affffffffe">
    <w:basedOn w:val="TableNormalffc"/>
    <w:rPr>
      <w:sz w:val="20"/>
      <w:szCs w:val="20"/>
    </w:rPr>
    <w:tblPr>
      <w:tblStyleRowBandSize w:val="1"/>
      <w:tblStyleColBandSize w:val="1"/>
      <w:tblCellMar>
        <w:left w:w="115" w:type="dxa"/>
        <w:right w:w="115" w:type="dxa"/>
      </w:tblCellMar>
    </w:tblPr>
  </w:style>
  <w:style w:type="table" w:customStyle="1" w:styleId="afffffffff">
    <w:basedOn w:val="TableNormalffc"/>
    <w:rPr>
      <w:sz w:val="20"/>
      <w:szCs w:val="20"/>
    </w:rPr>
    <w:tblPr>
      <w:tblStyleRowBandSize w:val="1"/>
      <w:tblStyleColBandSize w:val="1"/>
      <w:tblCellMar>
        <w:left w:w="115" w:type="dxa"/>
        <w:right w:w="115" w:type="dxa"/>
      </w:tblCellMar>
    </w:tblPr>
  </w:style>
  <w:style w:type="table" w:customStyle="1" w:styleId="afffffffff0">
    <w:basedOn w:val="TableNormalffc"/>
    <w:rPr>
      <w:sz w:val="20"/>
      <w:szCs w:val="20"/>
    </w:rPr>
    <w:tblPr>
      <w:tblStyleRowBandSize w:val="1"/>
      <w:tblStyleColBandSize w:val="1"/>
      <w:tblCellMar>
        <w:left w:w="115" w:type="dxa"/>
        <w:right w:w="115" w:type="dxa"/>
      </w:tblCellMar>
    </w:tblPr>
  </w:style>
  <w:style w:type="table" w:customStyle="1" w:styleId="afffffffff1">
    <w:basedOn w:val="TableNormalffc"/>
    <w:rPr>
      <w:sz w:val="20"/>
      <w:szCs w:val="20"/>
    </w:rPr>
    <w:tblPr>
      <w:tblStyleRowBandSize w:val="1"/>
      <w:tblStyleColBandSize w:val="1"/>
      <w:tblCellMar>
        <w:left w:w="115" w:type="dxa"/>
        <w:right w:w="115" w:type="dxa"/>
      </w:tblCellMar>
    </w:tblPr>
  </w:style>
  <w:style w:type="table" w:customStyle="1" w:styleId="afffffffff2">
    <w:basedOn w:val="TableNormalffc"/>
    <w:rPr>
      <w:sz w:val="20"/>
      <w:szCs w:val="20"/>
    </w:rPr>
    <w:tblPr>
      <w:tblStyleRowBandSize w:val="1"/>
      <w:tblStyleColBandSize w:val="1"/>
      <w:tblCellMar>
        <w:left w:w="115" w:type="dxa"/>
        <w:right w:w="115" w:type="dxa"/>
      </w:tblCellMar>
    </w:tblPr>
  </w:style>
  <w:style w:type="table" w:customStyle="1" w:styleId="afffffffff3">
    <w:basedOn w:val="TableNormalffc"/>
    <w:rPr>
      <w:sz w:val="20"/>
      <w:szCs w:val="20"/>
    </w:rPr>
    <w:tblPr>
      <w:tblStyleRowBandSize w:val="1"/>
      <w:tblStyleColBandSize w:val="1"/>
      <w:tblCellMar>
        <w:left w:w="115" w:type="dxa"/>
        <w:right w:w="115" w:type="dxa"/>
      </w:tblCellMar>
    </w:tblPr>
  </w:style>
  <w:style w:type="table" w:customStyle="1" w:styleId="afffffffff4">
    <w:basedOn w:val="TableNormalffc"/>
    <w:rPr>
      <w:sz w:val="20"/>
      <w:szCs w:val="20"/>
    </w:rPr>
    <w:tblPr>
      <w:tblStyleRowBandSize w:val="1"/>
      <w:tblStyleColBandSize w:val="1"/>
      <w:tblCellMar>
        <w:left w:w="115" w:type="dxa"/>
        <w:right w:w="115" w:type="dxa"/>
      </w:tblCellMar>
    </w:tblPr>
  </w:style>
  <w:style w:type="table" w:customStyle="1" w:styleId="afffffffff5">
    <w:basedOn w:val="TableNormalffc"/>
    <w:rPr>
      <w:sz w:val="20"/>
      <w:szCs w:val="20"/>
    </w:rPr>
    <w:tblPr>
      <w:tblStyleRowBandSize w:val="1"/>
      <w:tblStyleColBandSize w:val="1"/>
      <w:tblCellMar>
        <w:left w:w="115" w:type="dxa"/>
        <w:right w:w="115" w:type="dxa"/>
      </w:tblCellMar>
    </w:tblPr>
  </w:style>
  <w:style w:type="table" w:customStyle="1" w:styleId="afffffffff6">
    <w:basedOn w:val="TableNormalffc"/>
    <w:rPr>
      <w:sz w:val="20"/>
      <w:szCs w:val="20"/>
    </w:rPr>
    <w:tblPr>
      <w:tblStyleRowBandSize w:val="1"/>
      <w:tblStyleColBandSize w:val="1"/>
      <w:tblCellMar>
        <w:left w:w="115" w:type="dxa"/>
        <w:right w:w="115" w:type="dxa"/>
      </w:tblCellMar>
    </w:tblPr>
  </w:style>
  <w:style w:type="table" w:customStyle="1" w:styleId="afffffffff7">
    <w:basedOn w:val="TableNormalffc"/>
    <w:rPr>
      <w:sz w:val="20"/>
      <w:szCs w:val="20"/>
    </w:rPr>
    <w:tblPr>
      <w:tblStyleRowBandSize w:val="1"/>
      <w:tblStyleColBandSize w:val="1"/>
      <w:tblCellMar>
        <w:left w:w="115" w:type="dxa"/>
        <w:right w:w="115" w:type="dxa"/>
      </w:tblCellMar>
    </w:tblPr>
  </w:style>
  <w:style w:type="table" w:customStyle="1" w:styleId="afffffffff8">
    <w:basedOn w:val="TableNormalffc"/>
    <w:rPr>
      <w:sz w:val="20"/>
      <w:szCs w:val="20"/>
    </w:rPr>
    <w:tblPr>
      <w:tblStyleRowBandSize w:val="1"/>
      <w:tblStyleColBandSize w:val="1"/>
      <w:tblCellMar>
        <w:left w:w="115" w:type="dxa"/>
        <w:right w:w="115" w:type="dxa"/>
      </w:tblCellMar>
    </w:tblPr>
  </w:style>
  <w:style w:type="table" w:customStyle="1" w:styleId="afffffffff9">
    <w:basedOn w:val="TableNormalffc"/>
    <w:rPr>
      <w:sz w:val="20"/>
      <w:szCs w:val="20"/>
    </w:rPr>
    <w:tblPr>
      <w:tblStyleRowBandSize w:val="1"/>
      <w:tblStyleColBandSize w:val="1"/>
      <w:tblCellMar>
        <w:left w:w="115" w:type="dxa"/>
        <w:right w:w="115" w:type="dxa"/>
      </w:tblCellMar>
    </w:tblPr>
  </w:style>
  <w:style w:type="table" w:customStyle="1" w:styleId="afffffffffa">
    <w:basedOn w:val="TableNormalffc"/>
    <w:rPr>
      <w:sz w:val="20"/>
      <w:szCs w:val="20"/>
    </w:rPr>
    <w:tblPr>
      <w:tblStyleRowBandSize w:val="1"/>
      <w:tblStyleColBandSize w:val="1"/>
      <w:tblCellMar>
        <w:left w:w="115" w:type="dxa"/>
        <w:right w:w="115" w:type="dxa"/>
      </w:tblCellMar>
    </w:tblPr>
  </w:style>
  <w:style w:type="table" w:customStyle="1" w:styleId="afffffffffb">
    <w:basedOn w:val="TableNormalffc"/>
    <w:rPr>
      <w:sz w:val="20"/>
      <w:szCs w:val="20"/>
    </w:rPr>
    <w:tblPr>
      <w:tblStyleRowBandSize w:val="1"/>
      <w:tblStyleColBandSize w:val="1"/>
      <w:tblCellMar>
        <w:left w:w="115" w:type="dxa"/>
        <w:right w:w="115" w:type="dxa"/>
      </w:tblCellMar>
    </w:tblPr>
  </w:style>
  <w:style w:type="table" w:customStyle="1" w:styleId="afffffffffc">
    <w:basedOn w:val="TableNormalffc"/>
    <w:rPr>
      <w:sz w:val="20"/>
      <w:szCs w:val="20"/>
    </w:rPr>
    <w:tblPr>
      <w:tblStyleRowBandSize w:val="1"/>
      <w:tblStyleColBandSize w:val="1"/>
      <w:tblCellMar>
        <w:left w:w="115" w:type="dxa"/>
        <w:right w:w="115" w:type="dxa"/>
      </w:tblCellMar>
    </w:tblPr>
  </w:style>
  <w:style w:type="table" w:customStyle="1" w:styleId="afffffffffd">
    <w:basedOn w:val="TableNormalffc"/>
    <w:rPr>
      <w:sz w:val="20"/>
      <w:szCs w:val="20"/>
    </w:rPr>
    <w:tblPr>
      <w:tblStyleRowBandSize w:val="1"/>
      <w:tblStyleColBandSize w:val="1"/>
      <w:tblCellMar>
        <w:left w:w="115" w:type="dxa"/>
        <w:right w:w="115" w:type="dxa"/>
      </w:tblCellMar>
    </w:tblPr>
  </w:style>
  <w:style w:type="table" w:customStyle="1" w:styleId="afffffffffe">
    <w:basedOn w:val="TableNormalffc"/>
    <w:rPr>
      <w:sz w:val="20"/>
      <w:szCs w:val="20"/>
    </w:rPr>
    <w:tblPr>
      <w:tblStyleRowBandSize w:val="1"/>
      <w:tblStyleColBandSize w:val="1"/>
      <w:tblCellMar>
        <w:left w:w="115" w:type="dxa"/>
        <w:right w:w="115" w:type="dxa"/>
      </w:tblCellMar>
    </w:tblPr>
  </w:style>
  <w:style w:type="table" w:customStyle="1" w:styleId="affffffffff">
    <w:basedOn w:val="TableNormalffc"/>
    <w:rPr>
      <w:sz w:val="20"/>
      <w:szCs w:val="20"/>
    </w:rPr>
    <w:tblPr>
      <w:tblStyleRowBandSize w:val="1"/>
      <w:tblStyleColBandSize w:val="1"/>
      <w:tblCellMar>
        <w:left w:w="115" w:type="dxa"/>
        <w:right w:w="115" w:type="dxa"/>
      </w:tblCellMar>
    </w:tblPr>
  </w:style>
  <w:style w:type="table" w:customStyle="1" w:styleId="affffffffff0">
    <w:basedOn w:val="TableNormalffc"/>
    <w:rPr>
      <w:sz w:val="20"/>
      <w:szCs w:val="20"/>
    </w:rPr>
    <w:tblPr>
      <w:tblStyleRowBandSize w:val="1"/>
      <w:tblStyleColBandSize w:val="1"/>
      <w:tblCellMar>
        <w:left w:w="115" w:type="dxa"/>
        <w:right w:w="115" w:type="dxa"/>
      </w:tblCellMar>
    </w:tblPr>
  </w:style>
  <w:style w:type="table" w:customStyle="1" w:styleId="affffffffff1">
    <w:basedOn w:val="TableNormalffc"/>
    <w:rPr>
      <w:sz w:val="20"/>
      <w:szCs w:val="20"/>
    </w:rPr>
    <w:tblPr>
      <w:tblStyleRowBandSize w:val="1"/>
      <w:tblStyleColBandSize w:val="1"/>
      <w:tblCellMar>
        <w:left w:w="115" w:type="dxa"/>
        <w:right w:w="115" w:type="dxa"/>
      </w:tblCellMar>
    </w:tblPr>
  </w:style>
  <w:style w:type="table" w:customStyle="1" w:styleId="affffffffff2">
    <w:basedOn w:val="TableNormalffc"/>
    <w:rPr>
      <w:sz w:val="20"/>
      <w:szCs w:val="20"/>
    </w:rPr>
    <w:tblPr>
      <w:tblStyleRowBandSize w:val="1"/>
      <w:tblStyleColBandSize w:val="1"/>
      <w:tblCellMar>
        <w:left w:w="115" w:type="dxa"/>
        <w:right w:w="115" w:type="dxa"/>
      </w:tblCellMar>
    </w:tblPr>
  </w:style>
  <w:style w:type="table" w:customStyle="1" w:styleId="affffffffff3">
    <w:basedOn w:val="TableNormalffc"/>
    <w:rPr>
      <w:sz w:val="20"/>
      <w:szCs w:val="20"/>
    </w:rPr>
    <w:tblPr>
      <w:tblStyleRowBandSize w:val="1"/>
      <w:tblStyleColBandSize w:val="1"/>
      <w:tblCellMar>
        <w:left w:w="115" w:type="dxa"/>
        <w:right w:w="115" w:type="dxa"/>
      </w:tblCellMar>
    </w:tblPr>
  </w:style>
  <w:style w:type="table" w:customStyle="1" w:styleId="affffffffff4">
    <w:basedOn w:val="TableNormalffc"/>
    <w:rPr>
      <w:sz w:val="20"/>
      <w:szCs w:val="20"/>
    </w:rPr>
    <w:tblPr>
      <w:tblStyleRowBandSize w:val="1"/>
      <w:tblStyleColBandSize w:val="1"/>
      <w:tblCellMar>
        <w:left w:w="115" w:type="dxa"/>
        <w:right w:w="115" w:type="dxa"/>
      </w:tblCellMar>
    </w:tblPr>
  </w:style>
  <w:style w:type="table" w:customStyle="1" w:styleId="affffffffff5">
    <w:basedOn w:val="TableNormalffc"/>
    <w:rPr>
      <w:sz w:val="20"/>
      <w:szCs w:val="20"/>
    </w:rPr>
    <w:tblPr>
      <w:tblStyleRowBandSize w:val="1"/>
      <w:tblStyleColBandSize w:val="1"/>
      <w:tblCellMar>
        <w:left w:w="115" w:type="dxa"/>
        <w:right w:w="115" w:type="dxa"/>
      </w:tblCellMar>
    </w:tblPr>
  </w:style>
  <w:style w:type="table" w:customStyle="1" w:styleId="affffffffff6">
    <w:basedOn w:val="TableNormalffc"/>
    <w:rPr>
      <w:sz w:val="20"/>
      <w:szCs w:val="20"/>
    </w:rPr>
    <w:tblPr>
      <w:tblStyleRowBandSize w:val="1"/>
      <w:tblStyleColBandSize w:val="1"/>
      <w:tblCellMar>
        <w:left w:w="115" w:type="dxa"/>
        <w:right w:w="115" w:type="dxa"/>
      </w:tblCellMar>
    </w:tblPr>
  </w:style>
  <w:style w:type="table" w:customStyle="1" w:styleId="affffffffff7">
    <w:basedOn w:val="TableNormalffc"/>
    <w:rPr>
      <w:sz w:val="20"/>
      <w:szCs w:val="20"/>
    </w:rPr>
    <w:tblPr>
      <w:tblStyleRowBandSize w:val="1"/>
      <w:tblStyleColBandSize w:val="1"/>
      <w:tblCellMar>
        <w:left w:w="115" w:type="dxa"/>
        <w:right w:w="115" w:type="dxa"/>
      </w:tblCellMar>
    </w:tblPr>
  </w:style>
  <w:style w:type="table" w:customStyle="1" w:styleId="affffffffff8">
    <w:basedOn w:val="TableNormalffc"/>
    <w:rPr>
      <w:sz w:val="20"/>
      <w:szCs w:val="20"/>
    </w:rPr>
    <w:tblPr>
      <w:tblStyleRowBandSize w:val="1"/>
      <w:tblStyleColBandSize w:val="1"/>
      <w:tblCellMar>
        <w:left w:w="115" w:type="dxa"/>
        <w:right w:w="115" w:type="dxa"/>
      </w:tblCellMar>
    </w:tblPr>
  </w:style>
  <w:style w:type="table" w:customStyle="1" w:styleId="affffffffff9">
    <w:basedOn w:val="TableNormalffc"/>
    <w:rPr>
      <w:sz w:val="20"/>
      <w:szCs w:val="20"/>
    </w:rPr>
    <w:tblPr>
      <w:tblStyleRowBandSize w:val="1"/>
      <w:tblStyleColBandSize w:val="1"/>
      <w:tblCellMar>
        <w:left w:w="115" w:type="dxa"/>
        <w:right w:w="115" w:type="dxa"/>
      </w:tblCellMar>
    </w:tblPr>
  </w:style>
  <w:style w:type="table" w:customStyle="1" w:styleId="affffffffffa">
    <w:basedOn w:val="TableNormalffc"/>
    <w:rPr>
      <w:sz w:val="20"/>
      <w:szCs w:val="20"/>
    </w:rPr>
    <w:tblPr>
      <w:tblStyleRowBandSize w:val="1"/>
      <w:tblStyleColBandSize w:val="1"/>
      <w:tblCellMar>
        <w:left w:w="115" w:type="dxa"/>
        <w:right w:w="115" w:type="dxa"/>
      </w:tblCellMar>
    </w:tblPr>
  </w:style>
  <w:style w:type="table" w:customStyle="1" w:styleId="affffffffffb">
    <w:basedOn w:val="TableNormalffc"/>
    <w:rPr>
      <w:sz w:val="20"/>
      <w:szCs w:val="20"/>
    </w:rPr>
    <w:tblPr>
      <w:tblStyleRowBandSize w:val="1"/>
      <w:tblStyleColBandSize w:val="1"/>
      <w:tblCellMar>
        <w:left w:w="115" w:type="dxa"/>
        <w:right w:w="115" w:type="dxa"/>
      </w:tblCellMar>
    </w:tblPr>
  </w:style>
  <w:style w:type="table" w:customStyle="1" w:styleId="affffffffffc">
    <w:basedOn w:val="TableNormalffc"/>
    <w:rPr>
      <w:sz w:val="20"/>
      <w:szCs w:val="20"/>
    </w:rPr>
    <w:tblPr>
      <w:tblStyleRowBandSize w:val="1"/>
      <w:tblStyleColBandSize w:val="1"/>
      <w:tblCellMar>
        <w:left w:w="115" w:type="dxa"/>
        <w:right w:w="115" w:type="dxa"/>
      </w:tblCellMar>
    </w:tblPr>
  </w:style>
  <w:style w:type="table" w:customStyle="1" w:styleId="affffffffffd">
    <w:basedOn w:val="TableNormalffc"/>
    <w:rPr>
      <w:sz w:val="20"/>
      <w:szCs w:val="20"/>
    </w:rPr>
    <w:tblPr>
      <w:tblStyleRowBandSize w:val="1"/>
      <w:tblStyleColBandSize w:val="1"/>
      <w:tblCellMar>
        <w:left w:w="115" w:type="dxa"/>
        <w:right w:w="115" w:type="dxa"/>
      </w:tblCellMar>
    </w:tblPr>
  </w:style>
  <w:style w:type="table" w:customStyle="1" w:styleId="affffffffffe">
    <w:basedOn w:val="TableNormalffc"/>
    <w:rPr>
      <w:sz w:val="20"/>
      <w:szCs w:val="20"/>
    </w:rPr>
    <w:tblPr>
      <w:tblStyleRowBandSize w:val="1"/>
      <w:tblStyleColBandSize w:val="1"/>
      <w:tblCellMar>
        <w:left w:w="115" w:type="dxa"/>
        <w:right w:w="115" w:type="dxa"/>
      </w:tblCellMar>
    </w:tblPr>
  </w:style>
  <w:style w:type="table" w:customStyle="1" w:styleId="afffffffffff">
    <w:basedOn w:val="TableNormalffc"/>
    <w:rPr>
      <w:sz w:val="20"/>
      <w:szCs w:val="20"/>
    </w:rPr>
    <w:tblPr>
      <w:tblStyleRowBandSize w:val="1"/>
      <w:tblStyleColBandSize w:val="1"/>
      <w:tblCellMar>
        <w:left w:w="115" w:type="dxa"/>
        <w:right w:w="115" w:type="dxa"/>
      </w:tblCellMar>
    </w:tblPr>
  </w:style>
  <w:style w:type="table" w:customStyle="1" w:styleId="afffffffffff0">
    <w:basedOn w:val="TableNormalffc"/>
    <w:rPr>
      <w:sz w:val="20"/>
      <w:szCs w:val="20"/>
    </w:rPr>
    <w:tblPr>
      <w:tblStyleRowBandSize w:val="1"/>
      <w:tblStyleColBandSize w:val="1"/>
      <w:tblCellMar>
        <w:left w:w="115" w:type="dxa"/>
        <w:right w:w="115" w:type="dxa"/>
      </w:tblCellMar>
    </w:tblPr>
  </w:style>
  <w:style w:type="table" w:customStyle="1" w:styleId="afffffffffff1">
    <w:basedOn w:val="TableNormal0"/>
    <w:rPr>
      <w:sz w:val="20"/>
      <w:szCs w:val="20"/>
    </w:rPr>
    <w:tblPr>
      <w:tblStyleRowBandSize w:val="1"/>
      <w:tblStyleColBandSize w:val="1"/>
      <w:tblCellMar>
        <w:top w:w="100" w:type="dxa"/>
        <w:left w:w="115" w:type="dxa"/>
        <w:bottom w:w="100" w:type="dxa"/>
        <w:right w:w="115" w:type="dxa"/>
      </w:tblCellMar>
    </w:tblPr>
  </w:style>
  <w:style w:type="table" w:customStyle="1" w:styleId="afffffffffff2">
    <w:basedOn w:val="TableNormal0"/>
    <w:tblPr>
      <w:tblStyleRowBandSize w:val="1"/>
      <w:tblStyleColBandSize w:val="1"/>
      <w:tblCellMar>
        <w:left w:w="115" w:type="dxa"/>
        <w:right w:w="115" w:type="dxa"/>
      </w:tblCellMar>
    </w:tblPr>
  </w:style>
  <w:style w:type="table" w:customStyle="1" w:styleId="afffffffffff3">
    <w:basedOn w:val="TableNormal0"/>
    <w:rPr>
      <w:sz w:val="20"/>
      <w:szCs w:val="20"/>
    </w:rPr>
    <w:tblPr>
      <w:tblStyleRowBandSize w:val="1"/>
      <w:tblStyleColBandSize w:val="1"/>
      <w:tblCellMar>
        <w:top w:w="100" w:type="dxa"/>
        <w:left w:w="115" w:type="dxa"/>
        <w:bottom w:w="100" w:type="dxa"/>
        <w:right w:w="115" w:type="dxa"/>
      </w:tblCellMar>
    </w:tblPr>
  </w:style>
  <w:style w:type="character" w:customStyle="1" w:styleId="apple-tab-span">
    <w:name w:val="apple-tab-span"/>
    <w:basedOn w:val="a0"/>
    <w:rsid w:val="00CB0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004574">
      <w:bodyDiv w:val="1"/>
      <w:marLeft w:val="0"/>
      <w:marRight w:val="0"/>
      <w:marTop w:val="0"/>
      <w:marBottom w:val="0"/>
      <w:divBdr>
        <w:top w:val="none" w:sz="0" w:space="0" w:color="auto"/>
        <w:left w:val="none" w:sz="0" w:space="0" w:color="auto"/>
        <w:bottom w:val="none" w:sz="0" w:space="0" w:color="auto"/>
        <w:right w:val="none" w:sz="0" w:space="0" w:color="auto"/>
      </w:divBdr>
    </w:div>
    <w:div w:id="924536615">
      <w:bodyDiv w:val="1"/>
      <w:marLeft w:val="0"/>
      <w:marRight w:val="0"/>
      <w:marTop w:val="0"/>
      <w:marBottom w:val="0"/>
      <w:divBdr>
        <w:top w:val="none" w:sz="0" w:space="0" w:color="auto"/>
        <w:left w:val="none" w:sz="0" w:space="0" w:color="auto"/>
        <w:bottom w:val="none" w:sz="0" w:space="0" w:color="auto"/>
        <w:right w:val="none" w:sz="0" w:space="0" w:color="auto"/>
      </w:divBdr>
    </w:div>
    <w:div w:id="1126660961">
      <w:bodyDiv w:val="1"/>
      <w:marLeft w:val="0"/>
      <w:marRight w:val="0"/>
      <w:marTop w:val="0"/>
      <w:marBottom w:val="0"/>
      <w:divBdr>
        <w:top w:val="none" w:sz="0" w:space="0" w:color="auto"/>
        <w:left w:val="none" w:sz="0" w:space="0" w:color="auto"/>
        <w:bottom w:val="none" w:sz="0" w:space="0" w:color="auto"/>
        <w:right w:val="none" w:sz="0" w:space="0" w:color="auto"/>
      </w:divBdr>
    </w:div>
    <w:div w:id="1864903347">
      <w:bodyDiv w:val="1"/>
      <w:marLeft w:val="0"/>
      <w:marRight w:val="0"/>
      <w:marTop w:val="0"/>
      <w:marBottom w:val="0"/>
      <w:divBdr>
        <w:top w:val="none" w:sz="0" w:space="0" w:color="auto"/>
        <w:left w:val="none" w:sz="0" w:space="0" w:color="auto"/>
        <w:bottom w:val="none" w:sz="0" w:space="0" w:color="auto"/>
        <w:right w:val="none" w:sz="0" w:space="0" w:color="auto"/>
      </w:divBdr>
    </w:div>
    <w:div w:id="2130775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qzGbBUrVUzWoGvBgqd6hVlDWzA==">CgMxLjAyCGguZ2pkZ3hzOAByITFsTElSV3FQYjNUd2FmTTVXbTFnMzNLOXRpTTZSTU91Tg==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5863</Words>
  <Characters>3343</Characters>
  <Application>Microsoft Office Word</Application>
  <DocSecurity>0</DocSecurity>
  <Lines>27</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 Рябченко</cp:lastModifiedBy>
  <cp:revision>2</cp:revision>
  <dcterms:created xsi:type="dcterms:W3CDTF">2024-04-10T08:30:00Z</dcterms:created>
  <dcterms:modified xsi:type="dcterms:W3CDTF">2024-04-10T08:30:00Z</dcterms:modified>
</cp:coreProperties>
</file>